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tabs>
          <w:tab w:val="left" w:pos="500"/>
        </w:tabs>
        <w:kinsoku/>
        <w:wordWrap/>
        <w:overflowPunct/>
        <w:topLinePunct w:val="0"/>
        <w:bidi w:val="0"/>
        <w:adjustRightInd/>
        <w:snapToGrid/>
        <w:spacing w:line="560" w:lineRule="exact"/>
        <w:ind w:left="643"/>
        <w:jc w:val="center"/>
        <w:textAlignment w:val="auto"/>
        <w:rPr>
          <w:rFonts w:hint="eastAsia" w:ascii="方正小标宋简体" w:hAnsi="方正小标宋简体" w:eastAsia="方正小标宋简体" w:cs="方正小标宋简体"/>
          <w:b w:val="0"/>
          <w:bCs/>
          <w:kern w:val="0"/>
          <w:sz w:val="44"/>
          <w:szCs w:val="44"/>
          <w:lang w:eastAsia="zh-CN"/>
        </w:rPr>
      </w:pPr>
      <w:r>
        <w:rPr>
          <w:rFonts w:hint="eastAsia" w:ascii="方正小标宋简体" w:hAnsi="方正小标宋简体" w:eastAsia="方正小标宋简体" w:cs="方正小标宋简体"/>
          <w:b w:val="0"/>
          <w:bCs/>
          <w:kern w:val="0"/>
          <w:sz w:val="44"/>
          <w:szCs w:val="44"/>
          <w:lang w:eastAsia="zh-CN"/>
        </w:rPr>
        <w:t>崇左市中心城区451402-JCB-DL-02</w:t>
      </w:r>
    </w:p>
    <w:p>
      <w:pPr>
        <w:pStyle w:val="9"/>
        <w:keepNext w:val="0"/>
        <w:keepLines w:val="0"/>
        <w:pageBreakBefore w:val="0"/>
        <w:tabs>
          <w:tab w:val="left" w:pos="500"/>
        </w:tabs>
        <w:kinsoku/>
        <w:wordWrap/>
        <w:overflowPunct/>
        <w:topLinePunct w:val="0"/>
        <w:bidi w:val="0"/>
        <w:adjustRightInd/>
        <w:snapToGrid/>
        <w:spacing w:line="560" w:lineRule="exact"/>
        <w:ind w:left="643"/>
        <w:jc w:val="center"/>
        <w:textAlignment w:val="auto"/>
        <w:rPr>
          <w:rFonts w:hint="eastAsia" w:ascii="方正小标宋简体" w:hAnsi="方正小标宋简体" w:eastAsia="方正小标宋简体" w:cs="方正小标宋简体"/>
          <w:b w:val="0"/>
          <w:bCs/>
          <w:kern w:val="0"/>
          <w:sz w:val="44"/>
          <w:szCs w:val="44"/>
          <w:lang w:eastAsia="zh-CN"/>
        </w:rPr>
      </w:pPr>
      <w:r>
        <w:rPr>
          <w:rFonts w:hint="eastAsia" w:ascii="方正小标宋简体" w:hAnsi="方正小标宋简体" w:eastAsia="方正小标宋简体" w:cs="方正小标宋简体"/>
          <w:b w:val="0"/>
          <w:bCs/>
          <w:kern w:val="0"/>
          <w:sz w:val="44"/>
          <w:szCs w:val="44"/>
          <w:lang w:eastAsia="zh-CN"/>
        </w:rPr>
        <w:t>独立地块详细规划</w:t>
      </w:r>
    </w:p>
    <w:p>
      <w:pPr>
        <w:pStyle w:val="9"/>
        <w:keepNext w:val="0"/>
        <w:keepLines w:val="0"/>
        <w:pageBreakBefore w:val="0"/>
        <w:tabs>
          <w:tab w:val="left" w:pos="500"/>
        </w:tabs>
        <w:kinsoku/>
        <w:wordWrap/>
        <w:overflowPunct/>
        <w:topLinePunct w:val="0"/>
        <w:bidi w:val="0"/>
        <w:adjustRightInd/>
        <w:snapToGrid/>
        <w:spacing w:line="560" w:lineRule="exact"/>
        <w:ind w:left="643"/>
        <w:jc w:val="center"/>
        <w:textAlignment w:val="auto"/>
        <w:rPr>
          <w:rFonts w:hint="eastAsia" w:ascii="方正小标宋简体" w:hAnsi="方正小标宋简体" w:eastAsia="方正小标宋简体" w:cs="方正小标宋简体"/>
          <w:b w:val="0"/>
          <w:bCs/>
          <w:kern w:val="0"/>
          <w:sz w:val="44"/>
          <w:szCs w:val="44"/>
          <w:lang w:eastAsia="zh-CN"/>
        </w:rPr>
      </w:pP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一、项目位置与规模</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 w:hAnsi="楷体" w:eastAsia="楷体" w:cs="楷体"/>
          <w:b/>
          <w:bCs w:val="0"/>
          <w:kern w:val="0"/>
          <w:sz w:val="32"/>
          <w:szCs w:val="32"/>
          <w:lang w:eastAsia="zh-CN"/>
        </w:rPr>
      </w:pPr>
      <w:r>
        <w:rPr>
          <w:rFonts w:hint="eastAsia" w:ascii="楷体" w:hAnsi="楷体" w:eastAsia="楷体" w:cs="楷体"/>
          <w:b/>
          <w:bCs w:val="0"/>
          <w:kern w:val="0"/>
          <w:sz w:val="32"/>
          <w:szCs w:val="32"/>
          <w:lang w:eastAsia="zh-CN"/>
        </w:rPr>
        <w:t>（一）项目位置</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本次规划项目地块位于崇左市中心城区城北片区，地块东</w:t>
      </w:r>
      <w:bookmarkStart w:id="0" w:name="_GoBack"/>
      <w:bookmarkEnd w:id="0"/>
      <w:r>
        <w:rPr>
          <w:rFonts w:hint="eastAsia" w:ascii="仿宋_GB2312" w:hAnsi="仿宋_GB2312" w:eastAsia="仿宋_GB2312" w:cs="仿宋_GB2312"/>
          <w:b w:val="0"/>
          <w:bCs/>
          <w:kern w:val="0"/>
          <w:sz w:val="32"/>
          <w:szCs w:val="32"/>
          <w:lang w:eastAsia="zh-CN"/>
        </w:rPr>
        <w:t>侧距离卜寨村下陇逻屯约200米，南侧紧邻绕城高速，东、西、北三侧均为自然山体。</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 w:hAnsi="楷体" w:eastAsia="楷体" w:cs="楷体"/>
          <w:b/>
          <w:bCs w:val="0"/>
          <w:kern w:val="0"/>
          <w:sz w:val="32"/>
          <w:szCs w:val="32"/>
          <w:lang w:eastAsia="zh-CN"/>
        </w:rPr>
      </w:pPr>
      <w:r>
        <w:rPr>
          <w:rFonts w:hint="eastAsia" w:ascii="楷体" w:hAnsi="楷体" w:eastAsia="楷体" w:cs="楷体"/>
          <w:b/>
          <w:bCs w:val="0"/>
          <w:kern w:val="0"/>
          <w:sz w:val="32"/>
          <w:szCs w:val="32"/>
          <w:lang w:eastAsia="zh-CN"/>
        </w:rPr>
        <w:t>（二）规划面积</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规划总用地面积为137967.62平方米（约206.95亩）。</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二、用地布局规划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（一）土地使用布局</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项目地块规划用地性质为二类工业用地（100102）和城镇道路用地（1207），合计面积137967.62平方米。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其中，二类工业用地（100102）面积132236.15平方米，城镇道路用地（1207）面积5731.47平方米。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（二）规划协调衔接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1.</w:t>
      </w:r>
      <w:r>
        <w:rPr>
          <w:rFonts w:hint="eastAsia" w:ascii="仿宋_GB2312" w:hAnsi="仿宋_GB2312" w:eastAsia="仿宋_GB2312" w:cs="仿宋_GB2312"/>
          <w:b/>
          <w:bCs w:val="0"/>
          <w:kern w:val="0"/>
          <w:sz w:val="32"/>
          <w:szCs w:val="32"/>
          <w:lang w:eastAsia="zh-CN"/>
        </w:rPr>
        <w:t>用地功能衔接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项目周边已集聚了多家工业项目，本次规划延续现有用地性质，进一步强化了该片区的工业功能集聚。</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2.</w:t>
      </w:r>
      <w:r>
        <w:rPr>
          <w:rFonts w:hint="eastAsia" w:ascii="仿宋_GB2312" w:hAnsi="仿宋_GB2312" w:eastAsia="仿宋_GB2312" w:cs="仿宋_GB2312"/>
          <w:b/>
          <w:bCs w:val="0"/>
          <w:kern w:val="0"/>
          <w:sz w:val="32"/>
          <w:szCs w:val="32"/>
          <w:lang w:eastAsia="zh-CN"/>
        </w:rPr>
        <w:t>道路交通衔接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项目地块与农村道路连接，南侧紧邻崇左绕城高速，临近G359国道、环城路，可通过两条国道到崇左市中心城区及周边乡镇，经崇左绕城高速与周边市县联系。</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3.</w:t>
      </w:r>
      <w:r>
        <w:rPr>
          <w:rFonts w:hint="eastAsia" w:ascii="仿宋_GB2312" w:hAnsi="仿宋_GB2312" w:eastAsia="仿宋_GB2312" w:cs="仿宋_GB2312"/>
          <w:b/>
          <w:bCs w:val="0"/>
          <w:kern w:val="0"/>
          <w:sz w:val="32"/>
          <w:szCs w:val="32"/>
          <w:lang w:eastAsia="zh-CN"/>
        </w:rPr>
        <w:t>公共服务设施与基础设施衔接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项目紧邻中心城区，公共服务设施可依托中心城区统筹解决。供水接入市政管网；污水经自建处理设施达标后，排入市政系统；供电、环卫等与城区设施衔接。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4.</w:t>
      </w:r>
      <w:r>
        <w:rPr>
          <w:rFonts w:hint="eastAsia" w:ascii="仿宋_GB2312" w:hAnsi="仿宋_GB2312" w:eastAsia="仿宋_GB2312" w:cs="仿宋_GB2312"/>
          <w:b/>
          <w:bCs w:val="0"/>
          <w:kern w:val="0"/>
          <w:sz w:val="32"/>
          <w:szCs w:val="32"/>
          <w:lang w:eastAsia="zh-CN"/>
        </w:rPr>
        <w:t>与周边居民点的邻避关系</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结合项目地块与周边居民点的距离、主导风向等因素，综合考虑项目建设与运营对周边环境的影响，项目建设需满足《固体废物处理处置工程技术导则》等相关规范中与周边居民点邻避关系要求的标准要求。</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三、配套设施规划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（一）生产配套设施规划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1.</w:t>
      </w:r>
      <w:r>
        <w:rPr>
          <w:rFonts w:hint="eastAsia" w:ascii="仿宋_GB2312" w:hAnsi="仿宋_GB2312" w:eastAsia="仿宋_GB2312" w:cs="仿宋_GB2312"/>
          <w:b/>
          <w:bCs w:val="0"/>
          <w:kern w:val="0"/>
          <w:sz w:val="32"/>
          <w:szCs w:val="32"/>
          <w:lang w:eastAsia="zh-CN"/>
        </w:rPr>
        <w:t>污水处理站</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建设污水处理站，集中处理生产过程中产生的设备及产品清洗废水。通过沉淀、过滤、吸附等工艺去除悬浮物、重金属等污染物，处理达标后部分回用于设备冷却和场地冲洗，其余排入市政管网。</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2.</w:t>
      </w:r>
      <w:r>
        <w:rPr>
          <w:rFonts w:hint="eastAsia" w:ascii="仿宋_GB2312" w:hAnsi="仿宋_GB2312" w:eastAsia="仿宋_GB2312" w:cs="仿宋_GB2312"/>
          <w:b/>
          <w:bCs w:val="0"/>
          <w:kern w:val="0"/>
          <w:sz w:val="32"/>
          <w:szCs w:val="32"/>
          <w:lang w:eastAsia="zh-CN"/>
        </w:rPr>
        <w:t>初期雨水收集池</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设置初期雨水收集池，用于收集污染较重的初期雨水，与污水处理站及生产废水合并处理，达标后部分回用于生产，部分排入市政管网。</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3.</w:t>
      </w:r>
      <w:r>
        <w:rPr>
          <w:rFonts w:hint="eastAsia" w:ascii="仿宋_GB2312" w:hAnsi="仿宋_GB2312" w:eastAsia="仿宋_GB2312" w:cs="仿宋_GB2312"/>
          <w:b/>
          <w:bCs w:val="0"/>
          <w:kern w:val="0"/>
          <w:sz w:val="32"/>
          <w:szCs w:val="32"/>
          <w:lang w:eastAsia="zh-CN"/>
        </w:rPr>
        <w:t>生活垃圾收集点</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布设生活垃圾分类收集点，并委托当地环卫部门每日清运。收集宜采用密闭方式，且设于主导风向下风向一侧；若设置垃圾容器间，其建筑面积建议不小于10平方米。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4.</w:t>
      </w:r>
      <w:r>
        <w:rPr>
          <w:rFonts w:hint="eastAsia" w:ascii="仿宋_GB2312" w:hAnsi="仿宋_GB2312" w:eastAsia="仿宋_GB2312" w:cs="仿宋_GB2312"/>
          <w:b/>
          <w:bCs w:val="0"/>
          <w:kern w:val="0"/>
          <w:sz w:val="32"/>
          <w:szCs w:val="32"/>
          <w:lang w:eastAsia="zh-CN"/>
        </w:rPr>
        <w:t>建筑垃圾堆放场</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规划建筑垃圾堆放场，对暂时无法处理的建筑垃圾按规定集中规范堆放于主导风向下风向一侧的专用区域，并采取覆盖、围挡等措施，防止水土流失和扬尘污染。</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仿宋_GB2312" w:hAnsi="仿宋_GB2312" w:eastAsia="仿宋_GB2312" w:cs="仿宋_GB2312"/>
          <w:b/>
          <w:bCs w:val="0"/>
          <w:kern w:val="0"/>
          <w:sz w:val="32"/>
          <w:szCs w:val="32"/>
          <w:lang w:eastAsia="zh-CN"/>
        </w:rPr>
      </w:pPr>
      <w:r>
        <w:rPr>
          <w:rFonts w:hint="eastAsia" w:ascii="仿宋_GB2312" w:hAnsi="仿宋_GB2312" w:eastAsia="仿宋_GB2312" w:cs="仿宋_GB2312"/>
          <w:b/>
          <w:bCs w:val="0"/>
          <w:kern w:val="0"/>
          <w:sz w:val="32"/>
          <w:szCs w:val="32"/>
          <w:lang w:val="en-US" w:eastAsia="zh-CN"/>
        </w:rPr>
        <w:t>5.</w:t>
      </w:r>
      <w:r>
        <w:rPr>
          <w:rFonts w:hint="eastAsia" w:ascii="仿宋_GB2312" w:hAnsi="仿宋_GB2312" w:eastAsia="仿宋_GB2312" w:cs="仿宋_GB2312"/>
          <w:b/>
          <w:bCs w:val="0"/>
          <w:kern w:val="0"/>
          <w:sz w:val="32"/>
          <w:szCs w:val="32"/>
          <w:lang w:eastAsia="zh-CN"/>
        </w:rPr>
        <w:t>危险废物暂存间</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设置危险废物暂存间，对生产过程中产生的危险废物进行分类收集、存放，做好防风、防雨、防晒、防渗漏措施。</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（二）生活配套设施规划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为节约投资并实现共建共享，生活配套设施主要依托中心城区现有的行政管理、教育、文体、医疗及商业金融等设施予以解决。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四、综合交通及竖向规划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（一）对外交通规划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拓宽现状国道359至规划地块的道路，长度约330米，宽度为10米，按一块板形式设置，下穿绕城高速段设置限高。</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（二）内部道路系统规划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规划保留地块内部道路，可根据项目建设实际情况对线型进行优化调整，但道路红线宽度不小于10米。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（三）竖向规划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地块内部道路坡度控制在0.3%—6%之间，同时满足各项工程建设场地和工程管线敷设的高程要求，以及防洪、排涝、交通安全要求。</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场地竖向宜采用平坡式布置，坡度应满足道路场地及地表雨水近距离排放的基本要求，结合地形，尽量减少工程量，最大可能在场区内调配土方，减少运距，降低工程投资，地面排水坡度不宜小于0.3%。</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五、公用设施规划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（一）给水工程规划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项目给水管网接入城西片区给水管网，日最高用水量约为830吨/日。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（二）排水工程规划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项目自建污水处理设施，自行处理到市污水处理厂处理标准后接入市政污水管网，日污水排放量约750吨/日。</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项目场地内设置初期雨水收集池，收集降雨初期污染较为严重的雨水。初期雨水经收集后，进入污水处理站与生产废水一并处理，达标后排放或回用，避免对周边水体造成污染。</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（三）电力工程规划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项目年用地负荷为729万kWh。</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（四）燃气工程规划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年天然气消耗量72万立方米。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（五）环卫工程规划</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建筑垃圾管理：设置专门的堆放区域，并采采取覆盖、围挡等防护措施，防止水土流失和扬尘污染。</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危险废物处置：设置专门的危险废物暂存间。</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生活垃圾处置：设置生活垃圾收集点。</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黑体" w:hAnsi="黑体" w:eastAsia="黑体" w:cs="黑体"/>
          <w:b w:val="0"/>
          <w:bCs/>
          <w:kern w:val="0"/>
          <w:sz w:val="32"/>
          <w:szCs w:val="32"/>
          <w:lang w:eastAsia="zh-CN"/>
        </w:rPr>
      </w:pPr>
      <w:r>
        <w:rPr>
          <w:rFonts w:hint="eastAsia" w:ascii="黑体" w:hAnsi="黑体" w:eastAsia="黑体" w:cs="黑体"/>
          <w:b w:val="0"/>
          <w:bCs/>
          <w:kern w:val="0"/>
          <w:sz w:val="32"/>
          <w:szCs w:val="32"/>
          <w:lang w:eastAsia="zh-CN"/>
        </w:rPr>
        <w:t>六、地块管控</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（一）地块控制</w:t>
      </w:r>
    </w:p>
    <w:tbl>
      <w:tblPr>
        <w:tblStyle w:val="7"/>
        <w:tblW w:w="5187" w:type="pct"/>
        <w:tblInd w:w="0" w:type="dxa"/>
        <w:tblLayout w:type="fixed"/>
        <w:tblCellMar>
          <w:top w:w="0" w:type="dxa"/>
          <w:left w:w="108" w:type="dxa"/>
          <w:bottom w:w="0" w:type="dxa"/>
          <w:right w:w="108" w:type="dxa"/>
        </w:tblCellMar>
      </w:tblPr>
      <w:tblGrid>
        <w:gridCol w:w="1038"/>
        <w:gridCol w:w="947"/>
        <w:gridCol w:w="811"/>
        <w:gridCol w:w="700"/>
        <w:gridCol w:w="1076"/>
        <w:gridCol w:w="773"/>
        <w:gridCol w:w="811"/>
        <w:gridCol w:w="722"/>
        <w:gridCol w:w="970"/>
        <w:gridCol w:w="998"/>
        <w:gridCol w:w="555"/>
      </w:tblGrid>
      <w:tr>
        <w:tblPrEx>
          <w:tblCellMar>
            <w:top w:w="0" w:type="dxa"/>
            <w:left w:w="108" w:type="dxa"/>
            <w:bottom w:w="0" w:type="dxa"/>
            <w:right w:w="108" w:type="dxa"/>
          </w:tblCellMar>
        </w:tblPrEx>
        <w:trPr>
          <w:trHeight w:val="413" w:hRule="atLeast"/>
        </w:trPr>
        <w:tc>
          <w:tcPr>
            <w:tcW w:w="55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地块编号</w:t>
            </w:r>
          </w:p>
        </w:tc>
        <w:tc>
          <w:tcPr>
            <w:tcW w:w="5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用地代码</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用地性质</w:t>
            </w:r>
          </w:p>
        </w:tc>
        <w:tc>
          <w:tcPr>
            <w:tcW w:w="3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主导功能建筑面积比例</w:t>
            </w:r>
          </w:p>
        </w:tc>
        <w:tc>
          <w:tcPr>
            <w:tcW w:w="5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不可兼容的用地性质</w:t>
            </w:r>
          </w:p>
        </w:tc>
        <w:tc>
          <w:tcPr>
            <w:tcW w:w="4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用地面积（平方米）</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容积率</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建筑系数（%）</w:t>
            </w:r>
          </w:p>
        </w:tc>
        <w:tc>
          <w:tcPr>
            <w:tcW w:w="5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建筑限高（米）</w:t>
            </w:r>
          </w:p>
        </w:tc>
        <w:tc>
          <w:tcPr>
            <w:tcW w:w="5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配套设施</w:t>
            </w:r>
          </w:p>
        </w:tc>
        <w:tc>
          <w:tcPr>
            <w:tcW w:w="2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备注</w:t>
            </w:r>
          </w:p>
        </w:tc>
      </w:tr>
      <w:tr>
        <w:tblPrEx>
          <w:tblCellMar>
            <w:top w:w="0" w:type="dxa"/>
            <w:left w:w="108" w:type="dxa"/>
            <w:bottom w:w="0" w:type="dxa"/>
            <w:right w:w="108" w:type="dxa"/>
          </w:tblCellMar>
        </w:tblPrEx>
        <w:trPr>
          <w:trHeight w:val="312" w:hRule="atLeast"/>
        </w:trPr>
        <w:tc>
          <w:tcPr>
            <w:tcW w:w="55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0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37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7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1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1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2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r>
      <w:tr>
        <w:tblPrEx>
          <w:tblCellMar>
            <w:top w:w="0" w:type="dxa"/>
            <w:left w:w="108" w:type="dxa"/>
            <w:bottom w:w="0" w:type="dxa"/>
            <w:right w:w="108" w:type="dxa"/>
          </w:tblCellMar>
        </w:tblPrEx>
        <w:trPr>
          <w:trHeight w:val="312" w:hRule="atLeast"/>
        </w:trPr>
        <w:tc>
          <w:tcPr>
            <w:tcW w:w="55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0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37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7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1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1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5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c>
          <w:tcPr>
            <w:tcW w:w="2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 w:val="18"/>
                <w:szCs w:val="18"/>
              </w:rPr>
            </w:pPr>
          </w:p>
        </w:tc>
      </w:tr>
      <w:tr>
        <w:tblPrEx>
          <w:tblCellMar>
            <w:top w:w="0" w:type="dxa"/>
            <w:left w:w="108" w:type="dxa"/>
            <w:bottom w:w="0" w:type="dxa"/>
            <w:right w:w="108" w:type="dxa"/>
          </w:tblCellMar>
        </w:tblPrEx>
        <w:trPr>
          <w:trHeight w:val="1669" w:hRule="atLeast"/>
        </w:trPr>
        <w:tc>
          <w:tcPr>
            <w:tcW w:w="55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rPr>
              <w:t>451402-</w:t>
            </w:r>
            <w:r>
              <w:rPr>
                <w:rFonts w:ascii="宋体" w:hAnsi="宋体" w:eastAsia="宋体" w:cs="宋体"/>
                <w:color w:val="000000"/>
                <w:kern w:val="0"/>
                <w:sz w:val="18"/>
                <w:szCs w:val="18"/>
              </w:rPr>
              <w:t>J</w:t>
            </w:r>
            <w:r>
              <w:rPr>
                <w:rFonts w:hint="eastAsia" w:ascii="宋体" w:hAnsi="宋体" w:eastAsia="宋体" w:cs="宋体"/>
                <w:color w:val="000000"/>
                <w:kern w:val="0"/>
                <w:sz w:val="18"/>
                <w:szCs w:val="18"/>
              </w:rPr>
              <w:t>CB-</w:t>
            </w:r>
            <w:r>
              <w:rPr>
                <w:rFonts w:hint="eastAsia" w:ascii="宋体" w:hAnsi="宋体" w:eastAsia="宋体" w:cs="宋体"/>
                <w:color w:val="000000"/>
                <w:kern w:val="0"/>
                <w:sz w:val="18"/>
                <w:szCs w:val="18"/>
                <w:lang w:eastAsia="zh-CN"/>
              </w:rPr>
              <w:t>DL-02</w:t>
            </w:r>
          </w:p>
        </w:tc>
        <w:tc>
          <w:tcPr>
            <w:tcW w:w="503"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100102</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二类工业用地</w:t>
            </w:r>
          </w:p>
        </w:tc>
        <w:tc>
          <w:tcPr>
            <w:tcW w:w="372"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≥70%</w:t>
            </w:r>
          </w:p>
        </w:tc>
        <w:tc>
          <w:tcPr>
            <w:tcW w:w="572"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居住用地、公共管理与公共服务设施用地、商业用地、绿地与广场用地</w:t>
            </w:r>
          </w:p>
        </w:tc>
        <w:tc>
          <w:tcPr>
            <w:tcW w:w="411"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132236.15</w:t>
            </w:r>
          </w:p>
        </w:tc>
        <w:tc>
          <w:tcPr>
            <w:tcW w:w="431"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0.8-2.0</w:t>
            </w:r>
          </w:p>
        </w:tc>
        <w:tc>
          <w:tcPr>
            <w:tcW w:w="383"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≥40</w:t>
            </w:r>
          </w:p>
        </w:tc>
        <w:tc>
          <w:tcPr>
            <w:tcW w:w="515"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生产辅助用房≤24米，生产用房按生产工艺要求确定。</w:t>
            </w:r>
          </w:p>
        </w:tc>
        <w:tc>
          <w:tcPr>
            <w:tcW w:w="530"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建筑垃圾收集点、公共厕所、污水处理设施、雨水收集设施、危险废物暂存间、消防水池</w:t>
            </w:r>
          </w:p>
        </w:tc>
        <w:tc>
          <w:tcPr>
            <w:tcW w:w="295"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w:t>
            </w:r>
          </w:p>
        </w:tc>
      </w:tr>
    </w:tbl>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（二）退距控制</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邻高速公路一侧退高速公路边缘30米，其他侧退用地红线6米，退道路红线3米</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2" w:firstLineChars="200"/>
        <w:jc w:val="both"/>
        <w:textAlignment w:val="auto"/>
        <w:rPr>
          <w:rFonts w:hint="eastAsia" w:ascii="楷体_GB2312" w:hAnsi="楷体_GB2312" w:eastAsia="楷体_GB2312" w:cs="楷体_GB2312"/>
          <w:b/>
          <w:bCs w:val="0"/>
          <w:kern w:val="0"/>
          <w:sz w:val="32"/>
          <w:szCs w:val="32"/>
          <w:lang w:eastAsia="zh-CN"/>
        </w:rPr>
      </w:pPr>
      <w:r>
        <w:rPr>
          <w:rFonts w:hint="eastAsia" w:ascii="楷体_GB2312" w:hAnsi="楷体_GB2312" w:eastAsia="楷体_GB2312" w:cs="楷体_GB2312"/>
          <w:b/>
          <w:bCs w:val="0"/>
          <w:kern w:val="0"/>
          <w:sz w:val="32"/>
          <w:szCs w:val="32"/>
          <w:lang w:eastAsia="zh-CN"/>
        </w:rPr>
        <w:t>（三）地块出入口</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70" w:lineRule="exact"/>
        <w:ind w:firstLine="640" w:firstLineChars="200"/>
        <w:jc w:val="both"/>
        <w:textAlignment w:val="auto"/>
        <w:rPr>
          <w:rFonts w:hint="eastAsia" w:ascii="仿宋_GB2312" w:hAnsi="仿宋_GB2312" w:eastAsia="仿宋_GB2312" w:cs="仿宋_GB2312"/>
          <w:b w:val="0"/>
          <w:bCs/>
          <w:kern w:val="0"/>
          <w:sz w:val="32"/>
          <w:szCs w:val="32"/>
          <w:lang w:eastAsia="zh-CN"/>
        </w:rPr>
      </w:pPr>
      <w:r>
        <w:rPr>
          <w:rFonts w:hint="eastAsia" w:ascii="仿宋_GB2312" w:hAnsi="仿宋_GB2312" w:eastAsia="仿宋_GB2312" w:cs="仿宋_GB2312"/>
          <w:b w:val="0"/>
          <w:bCs/>
          <w:kern w:val="0"/>
          <w:sz w:val="32"/>
          <w:szCs w:val="32"/>
          <w:lang w:eastAsia="zh-CN"/>
        </w:rPr>
        <w:t>地块内部应设置不少于2个地块出入口。</w:t>
      </w:r>
    </w:p>
    <w:p>
      <w:pPr>
        <w:pStyle w:val="9"/>
        <w:keepNext w:val="0"/>
        <w:keepLines w:val="0"/>
        <w:pageBreakBefore w:val="0"/>
        <w:widowControl/>
        <w:tabs>
          <w:tab w:val="left" w:pos="500"/>
        </w:tabs>
        <w:kinsoku/>
        <w:wordWrap/>
        <w:overflowPunct/>
        <w:topLinePunct w:val="0"/>
        <w:autoSpaceDE w:val="0"/>
        <w:autoSpaceDN w:val="0"/>
        <w:bidi w:val="0"/>
        <w:adjustRightInd/>
        <w:snapToGrid/>
        <w:spacing w:line="560" w:lineRule="exact"/>
        <w:jc w:val="both"/>
        <w:textAlignment w:val="auto"/>
        <w:rPr>
          <w:rFonts w:hint="eastAsia" w:ascii="方正小标宋简体" w:hAnsi="方正小标宋简体" w:eastAsia="方正小标宋简体" w:cs="方正小标宋简体"/>
          <w:b w:val="0"/>
          <w:bCs/>
          <w:kern w:val="0"/>
          <w:sz w:val="44"/>
          <w:szCs w:val="44"/>
          <w:lang w:eastAsia="zh-CN"/>
        </w:rPr>
        <w:sectPr>
          <w:footerReference r:id="rId3" w:type="default"/>
          <w:pgSz w:w="11906" w:h="16838"/>
          <w:pgMar w:top="1984" w:right="1474" w:bottom="1984" w:left="1587" w:header="851" w:footer="907" w:gutter="0"/>
          <w:pgNumType w:fmt="numberInDash"/>
          <w:cols w:space="425" w:num="1"/>
          <w:docGrid w:type="lines" w:linePitch="312" w:charSpace="0"/>
        </w:sect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0683240" cy="7554595"/>
            <wp:effectExtent l="0" t="0" r="3810" b="825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extLst>
                        <a:ext uri="{28A0092B-C50C-407E-A947-70E740481C1C}">
                          <a14:useLocalDpi xmlns:a14="http://schemas.microsoft.com/office/drawing/2010/main" val="false"/>
                        </a:ext>
                      </a:extLst>
                    </a:blip>
                    <a:stretch>
                      <a:fillRect/>
                    </a:stretch>
                  </pic:blipFill>
                  <pic:spPr>
                    <a:xfrm>
                      <a:off x="0" y="0"/>
                      <a:ext cx="10683643" cy="7554595"/>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10683240" cy="7554595"/>
            <wp:effectExtent l="0" t="0" r="3810" b="825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10683643" cy="7554595"/>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10683240" cy="7554595"/>
            <wp:effectExtent l="0" t="0" r="3810" b="825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10683643" cy="7554595"/>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10683240" cy="7554595"/>
            <wp:effectExtent l="0" t="0" r="3810" b="825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10683643" cy="7554595"/>
                    </a:xfrm>
                    <a:prstGeom prst="rect">
                      <a:avLst/>
                    </a:prstGeom>
                  </pic:spPr>
                </pic:pic>
              </a:graphicData>
            </a:graphic>
          </wp:inline>
        </w:drawing>
      </w:r>
    </w:p>
    <w:p>
      <w:r>
        <w:drawing>
          <wp:inline distT="0" distB="0" distL="0" distR="0">
            <wp:extent cx="10690860" cy="7559040"/>
            <wp:effectExtent l="0" t="0" r="15240" b="38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cstate="print">
                      <a:extLst>
                        <a:ext uri="{28A0092B-C50C-407E-A947-70E740481C1C}">
                          <a14:useLocalDpi xmlns:a14="http://schemas.microsoft.com/office/drawing/2010/main" val="false"/>
                        </a:ext>
                      </a:extLst>
                    </a:blip>
                    <a:stretch>
                      <a:fillRect/>
                    </a:stretch>
                  </pic:blipFill>
                  <pic:spPr>
                    <a:xfrm>
                      <a:off x="0" y="0"/>
                      <a:ext cx="10691121" cy="7559040"/>
                    </a:xfrm>
                    <a:prstGeom prst="rect">
                      <a:avLst/>
                    </a:prstGeom>
                  </pic:spPr>
                </pic:pic>
              </a:graphicData>
            </a:graphic>
          </wp:inline>
        </w:drawing>
      </w:r>
    </w:p>
    <w:p>
      <w:r>
        <w:drawing>
          <wp:inline distT="0" distB="0" distL="0" distR="0">
            <wp:extent cx="10688955" cy="7559675"/>
            <wp:effectExtent l="0" t="0" r="17145" b="3175"/>
            <wp:docPr id="4" name="图片 4" descr="C:/Users/dell/Desktop/图片1(1).jpg图片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dell/Desktop/图片1(1).jpg图片1(1)"/>
                    <pic:cNvPicPr>
                      <a:picLocks noChangeAspect="true"/>
                    </pic:cNvPicPr>
                  </pic:nvPicPr>
                  <pic:blipFill>
                    <a:blip r:embed="rId10"/>
                    <a:srcRect t="15" b="15"/>
                    <a:stretch>
                      <a:fillRect/>
                    </a:stretch>
                  </pic:blipFill>
                  <pic:spPr>
                    <a:xfrm>
                      <a:off x="0" y="0"/>
                      <a:ext cx="10688955" cy="7560309"/>
                    </a:xfrm>
                    <a:prstGeom prst="rect">
                      <a:avLst/>
                    </a:prstGeom>
                  </pic:spPr>
                </pic:pic>
              </a:graphicData>
            </a:graphic>
          </wp:inline>
        </w:drawing>
      </w:r>
    </w:p>
    <w:sectPr>
      <w:pgSz w:w="16838" w:h="11906" w:orient="landscape"/>
      <w:pgMar w:top="0" w:right="0" w:bottom="0" w:left="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-93980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7.4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MVDFQzWAAAACAEAAA8AAAAAAAAAAQAgAAAAOAAAAGRycy9kb3ducmV2LnhtbFBL&#10;AQIUABQAAAAIAIdO4kDiMuAOGwIAACkEAAAOAAAAAAAAAAEAIAAAADsBAABkcnMvZTJvRG9jLnht&#10;bFBLBQYAAAAABgAGAFkBAADI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yODQ4ZjI0OWZjOTY3OTNmZGIxYTNjYWM2NTc5ZTAifQ=="/>
  </w:docVars>
  <w:rsids>
    <w:rsidRoot w:val="3B405CF6"/>
    <w:rsid w:val="000030CE"/>
    <w:rsid w:val="0000518A"/>
    <w:rsid w:val="00232A03"/>
    <w:rsid w:val="003610E1"/>
    <w:rsid w:val="006119C2"/>
    <w:rsid w:val="007227D9"/>
    <w:rsid w:val="00806E26"/>
    <w:rsid w:val="00CC41E4"/>
    <w:rsid w:val="00E2364B"/>
    <w:rsid w:val="3A40135F"/>
    <w:rsid w:val="3B405CF6"/>
    <w:rsid w:val="3FEC43E8"/>
    <w:rsid w:val="6FF64AAB"/>
    <w:rsid w:val="7C2F28B3"/>
    <w:rsid w:val="DBDBAF2F"/>
    <w:rsid w:val="DF9F38B9"/>
    <w:rsid w:val="FEBFD453"/>
    <w:rsid w:val="FFBDF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tLeast"/>
      <w:ind w:firstLine="200" w:firstLineChars="200"/>
      <w:jc w:val="center"/>
      <w:outlineLvl w:val="0"/>
    </w:pPr>
    <w:rPr>
      <w:rFonts w:ascii="Times New Roman" w:hAnsi="Times New Roman" w:eastAsia="黑体" w:cs="Times New Roman"/>
      <w:b/>
      <w:bCs/>
      <w:kern w:val="44"/>
      <w:sz w:val="36"/>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sz w:val="24"/>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jc w:val="left"/>
    </w:pPr>
    <w:rPr>
      <w:rFonts w:ascii="Calibri" w:hAnsi="Calibri" w:eastAsia="宋体" w:cs="Times New Roman"/>
      <w:kern w:val="0"/>
      <w:sz w:val="24"/>
    </w:rPr>
  </w:style>
  <w:style w:type="paragraph" w:styleId="9">
    <w:name w:val="List Paragraph"/>
    <w:basedOn w:val="1"/>
    <w:qFormat/>
    <w:uiPriority w:val="34"/>
    <w:pPr>
      <w:widowControl/>
      <w:autoSpaceDE w:val="0"/>
      <w:autoSpaceDN w:val="0"/>
      <w:spacing w:before="156" w:beforeLines="50" w:after="156" w:afterLines="50" w:line="600" w:lineRule="exact"/>
      <w:outlineLvl w:val="1"/>
    </w:pPr>
    <w:rPr>
      <w:rFonts w:ascii="Times New Roman" w:hAnsi="Times New Roman" w:eastAsia="仿宋" w:cs="Times New Roman"/>
      <w:sz w:val="24"/>
    </w:rPr>
  </w:style>
  <w:style w:type="character" w:customStyle="1" w:styleId="10">
    <w:name w:val="页眉 字符"/>
    <w:basedOn w:val="8"/>
    <w:link w:val="5"/>
    <w:qFormat/>
    <w:uiPriority w:val="0"/>
    <w:rPr>
      <w:rFonts w:asciiTheme="minorHAnsi" w:hAnsiTheme="minorHAnsi" w:eastAsiaTheme="minorEastAsia" w:cstheme="minorBidi"/>
      <w:kern w:val="2"/>
      <w:sz w:val="18"/>
      <w:szCs w:val="18"/>
    </w:rPr>
  </w:style>
  <w:style w:type="character" w:customStyle="1" w:styleId="11">
    <w:name w:val="页脚 字符"/>
    <w:basedOn w:val="8"/>
    <w:link w:val="4"/>
    <w:qFormat/>
    <w:uiPriority w:val="0"/>
    <w:rPr>
      <w:rFonts w:asciiTheme="minorHAnsi" w:hAnsiTheme="minorHAnsi" w:eastAsiaTheme="minorEastAsia" w:cstheme="minorBidi"/>
      <w:kern w:val="2"/>
      <w:sz w:val="18"/>
      <w:szCs w:val="18"/>
    </w:rPr>
  </w:style>
  <w:style w:type="character" w:customStyle="1" w:styleId="12">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Pages>
  <Words>316</Words>
  <Characters>1804</Characters>
  <Lines>15</Lines>
  <Paragraphs>4</Paragraphs>
  <TotalTime>0</TotalTime>
  <ScaleCrop>false</ScaleCrop>
  <LinksUpToDate>false</LinksUpToDate>
  <CharactersWithSpaces>2116</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2025-09-04T22:00:00Z</dcterms:created>
  <dc:creator>RK</dc:creator>
  <cp:lastModifiedBy>康前程</cp:lastModifiedBy>
  <dcterms:modified xsi:type="dcterms:W3CDTF">2025-09-05T16:19:23Z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27CC2A895E354B41AD7485E392AA9D83_11</vt:lpwstr>
  </property>
  <property fmtid="{D5CDD505-2E9C-101B-9397-08002B2CF9AE}" pid="4" name="KSOTemplateDocerSaveRecord">
    <vt:lpwstr>eyJoZGlkIjoiMzI4YTg5ZWMyMzI3OGZhNDNmY2JkZjM5NjcyYjJmNDUiLCJ1c2VySWQiOiI1ODExMjY5MTMifQ==</vt:lpwstr>
  </property>
</Properties>
</file>