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仿宋_GB2312" w:hAnsi="方正仿宋_GB2312" w:eastAsia="方正仿宋_GB2312" w:cs="方正仿宋_GB2312"/>
          <w:b/>
          <w:bCs/>
          <w:sz w:val="40"/>
          <w:szCs w:val="48"/>
          <w:lang w:val="en-US" w:eastAsia="zh-CN"/>
        </w:rPr>
      </w:pPr>
      <w:r>
        <w:rPr>
          <w:rFonts w:hint="eastAsia" w:ascii="方正仿宋_GB2312" w:hAnsi="方正仿宋_GB2312" w:eastAsia="方正仿宋_GB2312" w:cs="方正仿宋_GB2312"/>
          <w:b/>
          <w:bCs/>
          <w:sz w:val="40"/>
          <w:szCs w:val="48"/>
          <w:lang w:val="en-US" w:eastAsia="zh-CN"/>
        </w:rPr>
        <w:t>《崇左市中心城区451402-JCB-DL-01独立地块详细规划》</w:t>
      </w:r>
    </w:p>
    <w:p>
      <w:pPr>
        <w:jc w:val="center"/>
        <w:rPr>
          <w:rFonts w:hint="eastAsia" w:ascii="方正仿宋_GB2312" w:hAnsi="方正仿宋_GB2312" w:eastAsia="方正仿宋_GB2312" w:cs="方正仿宋_GB2312"/>
          <w:b/>
          <w:bCs/>
          <w:sz w:val="40"/>
          <w:szCs w:val="48"/>
          <w:lang w:val="en-US" w:eastAsia="zh-CN"/>
        </w:rPr>
      </w:pPr>
    </w:p>
    <w:p>
      <w:pPr>
        <w:pStyle w:val="3"/>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sz w:val="28"/>
          <w:szCs w:val="28"/>
          <w:lang w:val="en-US" w:eastAsia="zh-CN"/>
        </w:rPr>
        <w:t>一、项目位置与规模</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（一）项目位置</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项目地块位于合那高速崇左北高速收费站东部、合那高速南部、进城大道北部，中信大锰崇左产业园西部。</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（二）规划面积</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规划总用地面积为40393.09平方米（约60.59亩）。</w:t>
      </w:r>
    </w:p>
    <w:p>
      <w:pPr>
        <w:pStyle w:val="3"/>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二、用地布局规划</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（一）土地使用布局</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right="0" w:firstLine="560" w:firstLineChars="20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项目地块规划用地性质为二类工业用地（100102）和防护绿地（1402），合计</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面积</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40393.09㎡。</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其中，二类工业用地（100102）面积37874.95㎡，防护绿地（1402）面积2518.14㎡。</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（二）环境保护目标</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0" w:name="_Toc16899"/>
      <w:bookmarkStart w:id="1" w:name="_Toc29852"/>
      <w:bookmarkStart w:id="2" w:name="_Toc17509"/>
      <w:bookmarkStart w:id="3" w:name="_Toc32210"/>
      <w:bookmarkStart w:id="4" w:name="_Toc23690"/>
      <w:bookmarkStart w:id="5" w:name="_Toc13221"/>
      <w:bookmarkStart w:id="6" w:name="_Toc2173"/>
      <w:bookmarkStart w:id="7" w:name="_Toc14628"/>
      <w:bookmarkStart w:id="8" w:name="_Toc29984"/>
      <w:bookmarkStart w:id="9" w:name="_Toc12772"/>
      <w:bookmarkStart w:id="10" w:name="_Toc9256"/>
      <w:bookmarkStart w:id="11" w:name="_Toc7456"/>
      <w:bookmarkStart w:id="12" w:name="_Toc20333"/>
      <w:bookmarkStart w:id="13" w:name="_Toc2022"/>
      <w:bookmarkStart w:id="14" w:name="_Toc10564"/>
      <w:bookmarkStart w:id="15" w:name="_Toc20697"/>
      <w:bookmarkStart w:id="16" w:name="_Toc28227"/>
      <w:bookmarkStart w:id="17" w:name="_Toc14068"/>
      <w:bookmarkStart w:id="18" w:name="_Toc16977"/>
      <w:bookmarkStart w:id="19" w:name="_Toc31466"/>
      <w:bookmarkStart w:id="20" w:name="_Toc6764"/>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1.大气环境控制目标</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项目地块均执行《环境空气质量标准》（GB3095-2012）的二级标准。</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21" w:name="_Toc26348"/>
      <w:bookmarkStart w:id="22" w:name="_Toc3163"/>
      <w:bookmarkStart w:id="23" w:name="_Toc14651"/>
      <w:bookmarkStart w:id="24" w:name="_Toc27982"/>
      <w:bookmarkStart w:id="25" w:name="_Toc10364"/>
      <w:bookmarkStart w:id="26" w:name="_Toc29624"/>
      <w:bookmarkStart w:id="27" w:name="_Toc3635"/>
      <w:bookmarkStart w:id="28" w:name="_Toc10502"/>
      <w:bookmarkStart w:id="29" w:name="_Toc12284"/>
      <w:bookmarkStart w:id="30" w:name="_Toc5822"/>
      <w:bookmarkStart w:id="31" w:name="_Toc7240"/>
      <w:bookmarkStart w:id="32" w:name="_Toc14571"/>
      <w:bookmarkStart w:id="33" w:name="_Toc29960"/>
      <w:bookmarkStart w:id="34" w:name="_Toc22484"/>
      <w:bookmarkStart w:id="35" w:name="_Toc7590"/>
      <w:bookmarkStart w:id="36" w:name="_Toc30040"/>
      <w:bookmarkStart w:id="37" w:name="_Toc15131"/>
      <w:bookmarkStart w:id="38" w:name="_Toc4334"/>
      <w:bookmarkStart w:id="39" w:name="_Toc21783"/>
      <w:bookmarkStart w:id="40" w:name="_Toc29589"/>
      <w:bookmarkStart w:id="41" w:name="_Toc11753"/>
      <w:bookmarkStart w:id="42" w:name="_Toc31001"/>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2.水环境控制目标</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43" w:name="_Toc25143"/>
      <w:bookmarkStart w:id="44" w:name="_Toc31990"/>
      <w:bookmarkStart w:id="45" w:name="_Toc30176"/>
      <w:bookmarkStart w:id="46" w:name="_Toc4570"/>
      <w:bookmarkStart w:id="47" w:name="_Toc22156"/>
      <w:bookmarkStart w:id="48" w:name="_Toc16428"/>
      <w:bookmarkStart w:id="49" w:name="_Toc31030"/>
      <w:bookmarkStart w:id="50" w:name="_Toc8523"/>
      <w:bookmarkStart w:id="51" w:name="_Toc15036"/>
      <w:bookmarkStart w:id="52" w:name="_Toc17984"/>
      <w:bookmarkStart w:id="53" w:name="_Toc21970"/>
      <w:bookmarkStart w:id="54" w:name="_Toc30195"/>
      <w:bookmarkStart w:id="55" w:name="_Toc14723"/>
      <w:bookmarkStart w:id="56" w:name="_Toc2289"/>
      <w:bookmarkStart w:id="57" w:name="_Toc18103"/>
      <w:bookmarkStart w:id="58" w:name="_Toc19565"/>
      <w:bookmarkStart w:id="59" w:name="_Toc30728"/>
      <w:bookmarkStart w:id="60" w:name="_Toc2636"/>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项目地块用地范围内自然水域按《地表水环境质量标准---GB3838-2002》Ⅲ类控制，地下水按《地下水质量标准》 （GB/T14848-2017）Ⅲ类标准控制。</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61" w:name="_Toc20845"/>
      <w:bookmarkStart w:id="62" w:name="_Toc5031"/>
      <w:bookmarkStart w:id="63" w:name="_Toc24416"/>
      <w:bookmarkStart w:id="64" w:name="_Toc23076"/>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3.声环境控制目标</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项目地块按照《声环境质量标准》（GB3096-2008）2类标准控制。</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65" w:name="_Toc28897"/>
      <w:bookmarkStart w:id="66" w:name="_Toc18742"/>
      <w:bookmarkStart w:id="67" w:name="_Toc23736"/>
      <w:bookmarkStart w:id="68" w:name="_Toc12986"/>
      <w:bookmarkStart w:id="69" w:name="_Toc18044"/>
      <w:bookmarkStart w:id="70" w:name="_Toc16719"/>
      <w:bookmarkStart w:id="71" w:name="_Toc31946"/>
      <w:bookmarkStart w:id="72" w:name="_Toc14577"/>
      <w:bookmarkStart w:id="73" w:name="_Toc25990"/>
      <w:bookmarkStart w:id="74" w:name="_Toc18892"/>
      <w:bookmarkStart w:id="75" w:name="_Toc18270"/>
      <w:bookmarkStart w:id="76" w:name="_Toc31909"/>
      <w:bookmarkStart w:id="77" w:name="_Toc7170"/>
      <w:bookmarkStart w:id="78" w:name="_Toc6865"/>
      <w:bookmarkStart w:id="79" w:name="_Toc1610"/>
      <w:bookmarkStart w:id="80" w:name="_Toc27434"/>
      <w:bookmarkStart w:id="81" w:name="_Toc1066"/>
      <w:bookmarkStart w:id="82" w:name="_Toc21912"/>
      <w:bookmarkStart w:id="83" w:name="_Toc15085"/>
      <w:bookmarkStart w:id="84" w:name="_Toc6449"/>
      <w:bookmarkStart w:id="85" w:name="_Toc6368"/>
      <w:bookmarkStart w:id="86" w:name="_Toc1931"/>
      <w:bookmarkStart w:id="87" w:name="_Toc29618"/>
      <w:bookmarkStart w:id="88" w:name="_Toc18353"/>
      <w:bookmarkStart w:id="89" w:name="_Toc20805"/>
      <w:bookmarkStart w:id="90" w:name="_Toc3576"/>
      <w:bookmarkStart w:id="91" w:name="_Toc21910"/>
      <w:bookmarkStart w:id="92" w:name="_Toc1854"/>
      <w:bookmarkStart w:id="93" w:name="_Toc6629"/>
      <w:bookmarkStart w:id="94" w:name="_Toc25267"/>
      <w:bookmarkStart w:id="95" w:name="_Toc11234"/>
      <w:bookmarkStart w:id="96" w:name="_Toc9761"/>
      <w:bookmarkStart w:id="97" w:name="_Toc22472"/>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4.固体废弃物控制目标</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规划生活垃圾清运率达到100%，生活垃圾统一运往崇左市或就近乡镇垃圾处理厂进行处理；工业固体废弃物做好无害化处理和综合利用，工业废弃物集中处置率达到100%；建设固体废弃物可用于填土和铺路。</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right="0"/>
        <w:jc w:val="left"/>
        <w:textAlignment w:val="auto"/>
        <w:rPr>
          <w:rFonts w:hint="eastAsia" w:ascii="方正仿宋_GB2312" w:hAnsi="方正仿宋_GB2312" w:eastAsia="方正仿宋_GB2312" w:cs="方正仿宋_GB2312"/>
          <w:b/>
          <w:bCs/>
          <w:color w:val="000000"/>
          <w:kern w:val="2"/>
          <w:sz w:val="32"/>
          <w:szCs w:val="32"/>
          <w:lang w:val="en-US" w:eastAsia="zh-CN" w:bidi="ar-SA"/>
        </w:rPr>
      </w:pPr>
      <w:r>
        <w:rPr>
          <w:rFonts w:hint="eastAsia" w:ascii="方正仿宋_GB2312" w:hAnsi="方正仿宋_GB2312" w:eastAsia="方正仿宋_GB2312" w:cs="方正仿宋_GB2312"/>
          <w:b/>
          <w:bCs/>
          <w:color w:val="000000"/>
          <w:kern w:val="2"/>
          <w:sz w:val="32"/>
          <w:szCs w:val="32"/>
          <w:lang w:val="en-US" w:eastAsia="zh-CN" w:bidi="ar-SA"/>
        </w:rPr>
        <w:t xml:space="preserve">   </w:t>
      </w:r>
      <w:r>
        <w:rPr>
          <w:rFonts w:hint="eastAsia" w:ascii="方正仿宋_GB2312" w:hAnsi="方正仿宋_GB2312" w:eastAsia="方正仿宋_GB2312" w:cs="方正仿宋_GB2312"/>
          <w:b/>
          <w:kern w:val="2"/>
          <w:sz w:val="28"/>
          <w:szCs w:val="28"/>
          <w:lang w:val="en-US" w:eastAsia="zh-CN" w:bidi="ar-SA"/>
        </w:rPr>
        <w:t xml:space="preserve"> 三、配套设施规划</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98" w:name="_Toc12223"/>
      <w:bookmarkStart w:id="99" w:name="_Toc24854"/>
      <w:bookmarkStart w:id="100" w:name="_Toc23015"/>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（一）公共服务设施</w:t>
      </w:r>
      <w:bookmarkEnd w:id="98"/>
      <w:bookmarkEnd w:id="99"/>
      <w:bookmarkEnd w:id="100"/>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1.文化活动室</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项目地块内部设置职工文化室一间，附设于主要建筑中，建筑面积控制在100~150㎡左右。</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2.公共厕所</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项目地块内部设置公共厕所三处，附设于主要建筑或附属建筑中，单个公共厕所建筑面积控制在30~50㎡左右。</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3.社会停车场</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项目地块内部设置社会停车场两处，附设于主要建筑或附属建筑中，单个公共厕所建筑面积控制在30~50㎡左右。</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101" w:name="_Toc750"/>
      <w:bookmarkStart w:id="102" w:name="_Toc17093"/>
      <w:bookmarkStart w:id="103" w:name="_Toc9760"/>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（二）公用设施规划</w:t>
      </w:r>
      <w:bookmarkEnd w:id="101"/>
      <w:bookmarkEnd w:id="102"/>
      <w:bookmarkEnd w:id="103"/>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1.综合水泵房</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项目地块内部设置综合水泵房一处，独设于地块内，用地面积控制在50~80㎡左右，周边地块设置安全防护绿带，以保障供水水质安全。</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2.一体化污水处理机房</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项目地块内部设置一体化污水处理机房一处，独设于地块内，用地面积控制在10~20㎡左右。</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3.消防水池</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项目地块内部设置消防水池一处，地埋设于地块内，水池容量控制在30~50m³左右。</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4.一体化污水处理设备房</w:t>
      </w:r>
      <w:bookmarkStart w:id="254" w:name="_GoBack"/>
      <w:bookmarkEnd w:id="254"/>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项目地块内部设置一体化污水处理设备房一处，独设于地块内，水池容量控制在15~30m³左右。</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5.化粪池</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项目地块内部设置化粪池一处，地埋设于地块内，容量控制在15m³左右。</w:t>
      </w:r>
    </w:p>
    <w:p>
      <w:pPr>
        <w:pStyle w:val="3"/>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sz w:val="28"/>
          <w:szCs w:val="28"/>
          <w:lang w:val="en-US" w:eastAsia="zh-CN"/>
        </w:rPr>
      </w:pPr>
      <w:bookmarkStart w:id="104" w:name="_Toc9801"/>
      <w:bookmarkStart w:id="105" w:name="_Toc6768"/>
      <w:bookmarkStart w:id="106" w:name="_Toc17278"/>
      <w:bookmarkStart w:id="107" w:name="_Toc29755"/>
      <w:bookmarkStart w:id="108" w:name="_Toc8757"/>
      <w:bookmarkStart w:id="109" w:name="_Toc20243"/>
      <w:bookmarkStart w:id="110" w:name="_Toc21589"/>
      <w:bookmarkStart w:id="111" w:name="_Toc2069"/>
      <w:bookmarkStart w:id="112" w:name="_Toc627"/>
      <w:bookmarkStart w:id="113" w:name="_Toc23924"/>
      <w:bookmarkStart w:id="114" w:name="_Toc10405"/>
      <w:bookmarkStart w:id="115" w:name="_Toc15125"/>
      <w:r>
        <w:rPr>
          <w:rFonts w:hint="eastAsia" w:ascii="方正仿宋_GB2312" w:hAnsi="方正仿宋_GB2312" w:eastAsia="方正仿宋_GB2312" w:cs="方正仿宋_GB2312"/>
          <w:sz w:val="28"/>
          <w:szCs w:val="28"/>
          <w:lang w:val="en-US" w:eastAsia="zh-CN"/>
        </w:rPr>
        <w:t>四、综合交通及竖向规划</w:t>
      </w:r>
      <w:bookmarkEnd w:id="104"/>
      <w:bookmarkEnd w:id="105"/>
      <w:bookmarkEnd w:id="106"/>
      <w:bookmarkEnd w:id="107"/>
      <w:bookmarkEnd w:id="108"/>
      <w:bookmarkEnd w:id="109"/>
      <w:bookmarkEnd w:id="110"/>
      <w:bookmarkEnd w:id="111"/>
      <w:bookmarkEnd w:id="112"/>
      <w:bookmarkEnd w:id="113"/>
      <w:bookmarkEnd w:id="114"/>
      <w:bookmarkEnd w:id="115"/>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116" w:name="_Toc5396"/>
      <w:bookmarkStart w:id="117" w:name="_Toc31068"/>
      <w:bookmarkStart w:id="118" w:name="_Toc5108"/>
      <w:bookmarkStart w:id="119" w:name="_Toc32298"/>
      <w:bookmarkStart w:id="120" w:name="_Toc11522"/>
      <w:bookmarkStart w:id="121" w:name="_Toc4293"/>
      <w:bookmarkStart w:id="122" w:name="_Toc23811"/>
      <w:bookmarkStart w:id="123" w:name="_Toc21270"/>
      <w:bookmarkStart w:id="124" w:name="_Toc16349"/>
      <w:bookmarkStart w:id="125" w:name="_Toc2432"/>
      <w:bookmarkStart w:id="126" w:name="_Toc31164"/>
      <w:bookmarkStart w:id="127" w:name="_Toc8632"/>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（一）内部道路系统规划</w:t>
      </w:r>
      <w:bookmarkEnd w:id="116"/>
      <w:bookmarkEnd w:id="117"/>
      <w:bookmarkEnd w:id="118"/>
      <w:bookmarkEnd w:id="119"/>
      <w:bookmarkEnd w:id="120"/>
      <w:bookmarkEnd w:id="121"/>
      <w:bookmarkEnd w:id="122"/>
      <w:bookmarkEnd w:id="123"/>
      <w:bookmarkEnd w:id="124"/>
      <w:bookmarkEnd w:id="125"/>
      <w:bookmarkEnd w:id="126"/>
      <w:bookmarkEnd w:id="127"/>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1.道路红线宽度设计</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道路红线宽度不小于4.5m。</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2.道路横断面设计</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559" w:leftChars="266" w:right="0" w:firstLine="288" w:firstLineChars="103"/>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道路断面采用一块板形式，道路设计车速5-10公里/小时。</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br w:type="textWrapping"/>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3.消防车道、回车场设计</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尽头式消防车道应设回车道或回车场，回车场的面积不应小于12mX12m。</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消防车道的净宽和净空高度均不应小于4.0米，供消防车停留的空地其坡度不宜大于3%。</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128" w:name="_Toc24578"/>
      <w:bookmarkStart w:id="129" w:name="_Toc18647"/>
      <w:bookmarkStart w:id="130" w:name="_Toc24339"/>
      <w:bookmarkStart w:id="131" w:name="_Toc18246"/>
      <w:bookmarkStart w:id="132" w:name="_Toc26395"/>
      <w:bookmarkStart w:id="133" w:name="_Toc27640"/>
      <w:bookmarkStart w:id="134" w:name="_Toc7883"/>
      <w:bookmarkStart w:id="135" w:name="_Toc22281"/>
      <w:bookmarkStart w:id="136" w:name="_Toc30393"/>
      <w:bookmarkStart w:id="137" w:name="_Toc10700"/>
      <w:bookmarkStart w:id="138" w:name="_Toc20888"/>
      <w:bookmarkStart w:id="139" w:name="_Toc27645"/>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（二）竖向规划</w:t>
      </w:r>
      <w:bookmarkEnd w:id="128"/>
      <w:bookmarkEnd w:id="129"/>
      <w:bookmarkEnd w:id="130"/>
      <w:bookmarkEnd w:id="131"/>
      <w:bookmarkEnd w:id="132"/>
      <w:bookmarkEnd w:id="133"/>
      <w:bookmarkEnd w:id="134"/>
      <w:bookmarkEnd w:id="135"/>
      <w:bookmarkEnd w:id="136"/>
      <w:bookmarkEnd w:id="137"/>
      <w:bookmarkEnd w:id="138"/>
      <w:bookmarkEnd w:id="139"/>
      <w:bookmarkStart w:id="140" w:name="_Toc18366"/>
      <w:bookmarkStart w:id="141" w:name="_Toc7546"/>
      <w:bookmarkStart w:id="142" w:name="_Toc13649"/>
      <w:bookmarkStart w:id="143" w:name="_Toc3325"/>
      <w:bookmarkStart w:id="144" w:name="_Toc29529"/>
      <w:bookmarkStart w:id="145" w:name="_Toc14677"/>
      <w:bookmarkStart w:id="146" w:name="_Toc19969"/>
      <w:bookmarkStart w:id="147" w:name="_Toc4773"/>
      <w:bookmarkStart w:id="148" w:name="_Toc26688"/>
      <w:bookmarkStart w:id="149" w:name="_Toc2273"/>
      <w:bookmarkStart w:id="150" w:name="_Toc17147"/>
      <w:bookmarkStart w:id="151" w:name="_Toc23604"/>
      <w:bookmarkStart w:id="152" w:name="_Toc1733"/>
      <w:bookmarkStart w:id="153" w:name="_Toc17217"/>
      <w:bookmarkStart w:id="154" w:name="_Toc10373"/>
      <w:bookmarkStart w:id="155" w:name="_Toc4223"/>
      <w:bookmarkStart w:id="156" w:name="_Toc19544"/>
      <w:bookmarkStart w:id="157" w:name="_Toc31514"/>
      <w:bookmarkStart w:id="158" w:name="_Toc724"/>
      <w:bookmarkStart w:id="159" w:name="_Toc24678"/>
      <w:bookmarkStart w:id="160" w:name="_Toc28301"/>
      <w:bookmarkStart w:id="161" w:name="_Toc32371"/>
      <w:bookmarkStart w:id="162" w:name="_Toc20608"/>
    </w:p>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保证地表水排水通畅，地面排水坡度均大于0.25％，在满足场地排水的前提下，地块的规划控制高程建议高出周边道路0.3米以上，地块与道路交界处的高程须与道路进行平接。</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项目地块标高建议控制在107.50M-109.00M之间,最低点位于项目地块东南部，具体场地设计标高可根据地形和周边道路标高确定。</w:t>
      </w:r>
    </w:p>
    <w:p>
      <w:pPr>
        <w:pStyle w:val="3"/>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五、公用设施规划</w:t>
      </w:r>
    </w:p>
    <w:p>
      <w:pPr>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b/>
          <w:bCs/>
          <w:sz w:val="28"/>
          <w:szCs w:val="28"/>
          <w:lang w:val="en-US" w:eastAsia="zh-CN"/>
        </w:rPr>
      </w:pPr>
      <w:r>
        <w:rPr>
          <w:rFonts w:hint="eastAsia" w:ascii="方正仿宋_GB2312" w:hAnsi="方正仿宋_GB2312" w:eastAsia="方正仿宋_GB2312" w:cs="方正仿宋_GB2312"/>
          <w:b/>
          <w:bCs/>
          <w:sz w:val="28"/>
          <w:szCs w:val="28"/>
          <w:lang w:val="en-US" w:eastAsia="zh-CN"/>
        </w:rPr>
        <w:t>（一）给水工程</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规划项目地块最高日用水量约为200.53m³/日。</w:t>
      </w:r>
    </w:p>
    <w:p>
      <w:pPr>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b/>
          <w:bCs/>
          <w:sz w:val="28"/>
          <w:szCs w:val="28"/>
          <w:lang w:val="en-US" w:eastAsia="zh-CN"/>
        </w:rPr>
      </w:pPr>
      <w:r>
        <w:rPr>
          <w:rFonts w:hint="eastAsia" w:ascii="方正仿宋_GB2312" w:hAnsi="方正仿宋_GB2312" w:eastAsia="方正仿宋_GB2312" w:cs="方正仿宋_GB2312"/>
          <w:b/>
          <w:bCs/>
          <w:sz w:val="28"/>
          <w:szCs w:val="28"/>
          <w:lang w:val="en-US" w:eastAsia="zh-CN"/>
        </w:rPr>
        <w:t>（二）污水工程</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规划项目地块平均日生活污水总排放量为71.61m³/日。</w:t>
      </w:r>
    </w:p>
    <w:p>
      <w:pPr>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b/>
          <w:bCs/>
          <w:sz w:val="28"/>
          <w:szCs w:val="28"/>
          <w:lang w:val="en-US" w:eastAsia="zh-CN"/>
        </w:rPr>
      </w:pPr>
      <w:r>
        <w:rPr>
          <w:rFonts w:hint="eastAsia" w:ascii="方正仿宋_GB2312" w:hAnsi="方正仿宋_GB2312" w:eastAsia="方正仿宋_GB2312" w:cs="方正仿宋_GB2312"/>
          <w:b/>
          <w:bCs/>
          <w:sz w:val="28"/>
          <w:szCs w:val="28"/>
          <w:lang w:val="en-US" w:eastAsia="zh-CN"/>
        </w:rPr>
        <w:t>（三）电力工程</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规划项目地块负荷密度约为0.67MW/平方公里。</w:t>
      </w:r>
    </w:p>
    <w:p>
      <w:pPr>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b/>
          <w:bCs/>
          <w:sz w:val="28"/>
          <w:szCs w:val="28"/>
          <w:lang w:val="en-US" w:eastAsia="zh-CN"/>
        </w:rPr>
      </w:pPr>
      <w:r>
        <w:rPr>
          <w:rFonts w:hint="eastAsia" w:ascii="方正仿宋_GB2312" w:hAnsi="方正仿宋_GB2312" w:eastAsia="方正仿宋_GB2312" w:cs="方正仿宋_GB2312"/>
          <w:b/>
          <w:bCs/>
          <w:sz w:val="28"/>
          <w:szCs w:val="28"/>
          <w:lang w:val="en-US" w:eastAsia="zh-CN"/>
        </w:rPr>
        <w:t>（四）通信工程</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规划项目地块总固定电话主线约为27-38线、移动电话预测总需求量约为25部、数据用户预测需求量约为10-13线。</w:t>
      </w:r>
    </w:p>
    <w:p>
      <w:pPr>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b/>
          <w:bCs/>
          <w:sz w:val="28"/>
          <w:szCs w:val="28"/>
          <w:lang w:val="en-US" w:eastAsia="zh-CN"/>
        </w:rPr>
      </w:pPr>
      <w:r>
        <w:rPr>
          <w:rFonts w:hint="eastAsia" w:ascii="方正仿宋_GB2312" w:hAnsi="方正仿宋_GB2312" w:eastAsia="方正仿宋_GB2312" w:cs="方正仿宋_GB2312"/>
          <w:b/>
          <w:bCs/>
          <w:sz w:val="28"/>
          <w:szCs w:val="28"/>
          <w:lang w:val="en-US" w:eastAsia="zh-CN"/>
        </w:rPr>
        <w:t>（五）燃气工程</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规划项目地块天然气年需求量约2526.51m³。</w:t>
      </w:r>
    </w:p>
    <w:p>
      <w:pPr>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b/>
          <w:bCs/>
          <w:sz w:val="28"/>
          <w:szCs w:val="28"/>
          <w:lang w:val="en-US" w:eastAsia="zh-CN"/>
        </w:rPr>
      </w:pPr>
      <w:r>
        <w:rPr>
          <w:rFonts w:hint="eastAsia" w:ascii="方正仿宋_GB2312" w:hAnsi="方正仿宋_GB2312" w:eastAsia="方正仿宋_GB2312" w:cs="方正仿宋_GB2312"/>
          <w:b/>
          <w:bCs/>
          <w:sz w:val="28"/>
          <w:szCs w:val="28"/>
          <w:lang w:val="en-US" w:eastAsia="zh-CN"/>
        </w:rPr>
        <w:t>（六）环卫工程</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方正仿宋_GB2312" w:hAnsi="方正仿宋_GB2312" w:eastAsia="方正仿宋_GB2312" w:cs="方正仿宋_GB2312"/>
          <w:sz w:val="28"/>
          <w:szCs w:val="28"/>
          <w:lang w:val="zh-CN" w:eastAsia="zh-CN"/>
        </w:rPr>
      </w:pPr>
      <w:r>
        <w:rPr>
          <w:rFonts w:hint="eastAsia" w:ascii="方正仿宋_GB2312" w:hAnsi="方正仿宋_GB2312" w:eastAsia="方正仿宋_GB2312" w:cs="方正仿宋_GB2312"/>
          <w:sz w:val="28"/>
          <w:szCs w:val="28"/>
          <w:lang w:val="en-US" w:eastAsia="zh-CN"/>
        </w:rPr>
        <w:t>规划项目地块预测生活垃圾日常排出量为0.030（吨/天）。</w:t>
      </w:r>
    </w:p>
    <w:p>
      <w:pPr>
        <w:pStyle w:val="3"/>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六、地块建设管控规划</w:t>
      </w:r>
    </w:p>
    <w:p>
      <w:pPr>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b/>
          <w:bCs/>
          <w:sz w:val="28"/>
          <w:szCs w:val="28"/>
          <w:lang w:val="en-US" w:eastAsia="zh-CN"/>
        </w:rPr>
      </w:pPr>
      <w:r>
        <w:rPr>
          <w:rFonts w:hint="eastAsia" w:ascii="方正仿宋_GB2312" w:hAnsi="方正仿宋_GB2312" w:eastAsia="方正仿宋_GB2312" w:cs="方正仿宋_GB2312"/>
          <w:b/>
          <w:bCs/>
          <w:sz w:val="28"/>
          <w:szCs w:val="28"/>
          <w:lang w:val="en-US" w:eastAsia="zh-CN"/>
        </w:rPr>
        <w:t>（一）地块划分</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方正仿宋_GB2312" w:hAnsi="方正仿宋_GB2312" w:eastAsia="方正仿宋_GB2312" w:cs="方正仿宋_GB2312"/>
          <w:sz w:val="28"/>
          <w:szCs w:val="28"/>
          <w:lang w:val="zh-CN" w:eastAsia="zh-CN"/>
        </w:rPr>
      </w:pPr>
      <w:r>
        <w:rPr>
          <w:rFonts w:hint="eastAsia" w:ascii="方正仿宋_GB2312" w:hAnsi="方正仿宋_GB2312" w:eastAsia="方正仿宋_GB2312" w:cs="方正仿宋_GB2312"/>
          <w:sz w:val="28"/>
          <w:szCs w:val="28"/>
          <w:lang w:val="zh-CN" w:eastAsia="zh-CN"/>
        </w:rPr>
        <w:t>规划</w:t>
      </w:r>
      <w:r>
        <w:rPr>
          <w:rFonts w:hint="eastAsia" w:ascii="方正仿宋_GB2312" w:hAnsi="方正仿宋_GB2312" w:eastAsia="方正仿宋_GB2312" w:cs="方正仿宋_GB2312"/>
          <w:sz w:val="28"/>
          <w:szCs w:val="28"/>
          <w:lang w:val="en-US" w:eastAsia="zh-CN"/>
        </w:rPr>
        <w:t>项目地块</w:t>
      </w:r>
      <w:r>
        <w:rPr>
          <w:rFonts w:hint="eastAsia" w:ascii="方正仿宋_GB2312" w:hAnsi="方正仿宋_GB2312" w:eastAsia="方正仿宋_GB2312" w:cs="方正仿宋_GB2312"/>
          <w:sz w:val="28"/>
          <w:szCs w:val="28"/>
          <w:lang w:val="zh-CN" w:eastAsia="zh-CN"/>
        </w:rPr>
        <w:t>划分</w:t>
      </w:r>
      <w:r>
        <w:rPr>
          <w:rFonts w:hint="eastAsia" w:ascii="方正仿宋_GB2312" w:hAnsi="方正仿宋_GB2312" w:eastAsia="方正仿宋_GB2312" w:cs="方正仿宋_GB2312"/>
          <w:sz w:val="28"/>
          <w:szCs w:val="28"/>
          <w:lang w:val="en-US" w:eastAsia="zh-CN"/>
        </w:rPr>
        <w:t>1</w:t>
      </w:r>
      <w:r>
        <w:rPr>
          <w:rFonts w:hint="eastAsia" w:ascii="方正仿宋_GB2312" w:hAnsi="方正仿宋_GB2312" w:eastAsia="方正仿宋_GB2312" w:cs="方正仿宋_GB2312"/>
          <w:sz w:val="28"/>
          <w:szCs w:val="28"/>
          <w:lang w:val="zh-CN" w:eastAsia="zh-CN"/>
        </w:rPr>
        <w:t>个管理单元，共计</w:t>
      </w:r>
      <w:r>
        <w:rPr>
          <w:rFonts w:hint="eastAsia" w:ascii="方正仿宋_GB2312" w:hAnsi="方正仿宋_GB2312" w:eastAsia="方正仿宋_GB2312" w:cs="方正仿宋_GB2312"/>
          <w:sz w:val="28"/>
          <w:szCs w:val="28"/>
          <w:lang w:val="en-US" w:eastAsia="zh-CN"/>
        </w:rPr>
        <w:t>2</w:t>
      </w:r>
      <w:r>
        <w:rPr>
          <w:rFonts w:hint="eastAsia" w:ascii="方正仿宋_GB2312" w:hAnsi="方正仿宋_GB2312" w:eastAsia="方正仿宋_GB2312" w:cs="方正仿宋_GB2312"/>
          <w:sz w:val="28"/>
          <w:szCs w:val="28"/>
          <w:lang w:val="zh-CN" w:eastAsia="zh-CN"/>
        </w:rPr>
        <w:t>个地块。</w:t>
      </w:r>
    </w:p>
    <w:p>
      <w:pPr>
        <w:pageBreakBefore w:val="0"/>
        <w:kinsoku/>
        <w:wordWrap/>
        <w:overflowPunct/>
        <w:topLinePunct w:val="0"/>
        <w:autoSpaceDE/>
        <w:autoSpaceDN/>
        <w:bidi w:val="0"/>
        <w:adjustRightInd/>
        <w:snapToGrid/>
        <w:spacing w:line="240" w:lineRule="auto"/>
        <w:ind w:firstLine="562" w:firstLineChars="200"/>
        <w:textAlignment w:val="auto"/>
        <w:rPr>
          <w:rFonts w:hint="eastAsia" w:ascii="方正仿宋_GB2312" w:hAnsi="方正仿宋_GB2312" w:eastAsia="方正仿宋_GB2312" w:cs="方正仿宋_GB2312"/>
          <w:b/>
          <w:bCs/>
          <w:sz w:val="28"/>
          <w:szCs w:val="28"/>
          <w:lang w:val="en-US" w:eastAsia="zh-CN"/>
        </w:rPr>
      </w:pPr>
      <w:r>
        <w:rPr>
          <w:rFonts w:hint="eastAsia" w:ascii="方正仿宋_GB2312" w:hAnsi="方正仿宋_GB2312" w:eastAsia="方正仿宋_GB2312" w:cs="方正仿宋_GB2312"/>
          <w:b/>
          <w:bCs/>
          <w:sz w:val="28"/>
          <w:szCs w:val="28"/>
          <w:lang w:val="en-US" w:eastAsia="zh-CN"/>
        </w:rPr>
        <w:t>（二）</w:t>
      </w:r>
      <w:r>
        <w:rPr>
          <w:rFonts w:hint="eastAsia" w:ascii="方正仿宋_GB2312" w:hAnsi="方正仿宋_GB2312" w:eastAsia="方正仿宋_GB2312" w:cs="方正仿宋_GB2312"/>
          <w:b/>
          <w:bCs/>
          <w:sz w:val="28"/>
          <w:szCs w:val="28"/>
          <w:lang w:val="zh-CN" w:eastAsia="zh-CN"/>
        </w:rPr>
        <w:t>地块</w:t>
      </w:r>
      <w:r>
        <w:rPr>
          <w:rFonts w:hint="eastAsia" w:ascii="方正仿宋_GB2312" w:hAnsi="方正仿宋_GB2312" w:eastAsia="方正仿宋_GB2312" w:cs="方正仿宋_GB2312"/>
          <w:b/>
          <w:bCs/>
          <w:sz w:val="28"/>
          <w:szCs w:val="28"/>
          <w:lang w:val="en-US" w:eastAsia="zh-CN"/>
        </w:rPr>
        <w:t>建设</w:t>
      </w:r>
      <w:r>
        <w:rPr>
          <w:rFonts w:hint="eastAsia" w:ascii="方正仿宋_GB2312" w:hAnsi="方正仿宋_GB2312" w:eastAsia="方正仿宋_GB2312" w:cs="方正仿宋_GB2312"/>
          <w:b/>
          <w:bCs/>
          <w:sz w:val="28"/>
          <w:szCs w:val="28"/>
          <w:lang w:val="zh-CN" w:eastAsia="zh-CN"/>
        </w:rPr>
        <w:t>开发控制</w:t>
      </w:r>
    </w:p>
    <w:p>
      <w:pPr>
        <w:bidi w:val="0"/>
        <w:jc w:val="center"/>
        <w:rPr>
          <w:rFonts w:hint="eastAsia" w:ascii="方正仿宋_GB2312" w:hAnsi="方正仿宋_GB2312" w:eastAsia="方正仿宋_GB2312" w:cs="方正仿宋_GB2312"/>
          <w:b w:val="0"/>
          <w:color w:val="000000"/>
          <w:kern w:val="2"/>
          <w:sz w:val="24"/>
          <w:szCs w:val="24"/>
          <w:lang w:val="en-US" w:eastAsia="zh-CN" w:bidi="ar-SA"/>
        </w:rPr>
      </w:pPr>
      <w:r>
        <w:rPr>
          <w:rFonts w:hint="eastAsia" w:ascii="方正仿宋_GB2312" w:hAnsi="方正仿宋_GB2312" w:eastAsia="方正仿宋_GB2312" w:cs="方正仿宋_GB2312"/>
          <w:b w:val="0"/>
          <w:color w:val="000000"/>
          <w:kern w:val="2"/>
          <w:sz w:val="24"/>
          <w:szCs w:val="24"/>
          <w:lang w:val="en-US" w:eastAsia="zh-CN" w:bidi="ar-SA"/>
        </w:rPr>
        <w:t>表6-1各地块建设开发控制指标情况一览表</w:t>
      </w:r>
    </w:p>
    <w:tbl>
      <w:tblPr>
        <w:tblStyle w:val="13"/>
        <w:tblW w:w="98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975"/>
        <w:gridCol w:w="1434"/>
        <w:gridCol w:w="1055"/>
        <w:gridCol w:w="1082"/>
        <w:gridCol w:w="4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8" w:type="dxa"/>
            <w:noWrap w:val="0"/>
            <w:vAlign w:val="center"/>
          </w:tcPr>
          <w:p>
            <w:pPr>
              <w:pStyle w:val="16"/>
              <w:keepNext w:val="0"/>
              <w:keepLines w:val="0"/>
              <w:pageBreakBefore w:val="0"/>
              <w:widowControl w:val="0"/>
              <w:kinsoku/>
              <w:wordWrap/>
              <w:overflowPunct/>
              <w:topLinePunct w:val="0"/>
              <w:bidi w:val="0"/>
              <w:snapToGrid/>
              <w:spacing w:line="24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地块编码</w:t>
            </w:r>
          </w:p>
        </w:tc>
        <w:tc>
          <w:tcPr>
            <w:tcW w:w="975" w:type="dxa"/>
            <w:noWrap w:val="0"/>
            <w:vAlign w:val="center"/>
          </w:tcPr>
          <w:p>
            <w:pPr>
              <w:pStyle w:val="16"/>
              <w:keepNext w:val="0"/>
              <w:keepLines w:val="0"/>
              <w:pageBreakBefore w:val="0"/>
              <w:widowControl w:val="0"/>
              <w:kinsoku/>
              <w:wordWrap/>
              <w:overflowPunct/>
              <w:topLinePunct w:val="0"/>
              <w:bidi w:val="0"/>
              <w:snapToGrid/>
              <w:spacing w:line="24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容积率</w:t>
            </w:r>
          </w:p>
        </w:tc>
        <w:tc>
          <w:tcPr>
            <w:tcW w:w="1434" w:type="dxa"/>
            <w:noWrap w:val="0"/>
            <w:vAlign w:val="center"/>
          </w:tcPr>
          <w:p>
            <w:pPr>
              <w:pStyle w:val="16"/>
              <w:keepNext w:val="0"/>
              <w:keepLines w:val="0"/>
              <w:pageBreakBefore w:val="0"/>
              <w:widowControl w:val="0"/>
              <w:kinsoku/>
              <w:wordWrap/>
              <w:overflowPunct/>
              <w:topLinePunct w:val="0"/>
              <w:bidi w:val="0"/>
              <w:snapToGrid/>
              <w:spacing w:line="24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建筑密度</w:t>
            </w:r>
          </w:p>
          <w:p>
            <w:pPr>
              <w:pStyle w:val="16"/>
              <w:keepNext w:val="0"/>
              <w:keepLines w:val="0"/>
              <w:pageBreakBefore w:val="0"/>
              <w:widowControl w:val="0"/>
              <w:kinsoku/>
              <w:wordWrap/>
              <w:overflowPunct/>
              <w:topLinePunct w:val="0"/>
              <w:bidi w:val="0"/>
              <w:snapToGrid/>
              <w:spacing w:line="24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（建筑系数）</w:t>
            </w:r>
          </w:p>
        </w:tc>
        <w:tc>
          <w:tcPr>
            <w:tcW w:w="1055" w:type="dxa"/>
            <w:noWrap w:val="0"/>
            <w:vAlign w:val="center"/>
          </w:tcPr>
          <w:p>
            <w:pPr>
              <w:pStyle w:val="16"/>
              <w:keepNext w:val="0"/>
              <w:keepLines w:val="0"/>
              <w:pageBreakBefore w:val="0"/>
              <w:widowControl w:val="0"/>
              <w:kinsoku/>
              <w:wordWrap/>
              <w:overflowPunct/>
              <w:topLinePunct w:val="0"/>
              <w:bidi w:val="0"/>
              <w:snapToGrid/>
              <w:spacing w:line="24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绿地率</w:t>
            </w:r>
          </w:p>
        </w:tc>
        <w:tc>
          <w:tcPr>
            <w:tcW w:w="1082" w:type="dxa"/>
            <w:noWrap w:val="0"/>
            <w:vAlign w:val="center"/>
          </w:tcPr>
          <w:p>
            <w:pPr>
              <w:pStyle w:val="16"/>
              <w:keepNext w:val="0"/>
              <w:keepLines w:val="0"/>
              <w:pageBreakBefore w:val="0"/>
              <w:widowControl w:val="0"/>
              <w:kinsoku/>
              <w:wordWrap/>
              <w:overflowPunct/>
              <w:topLinePunct w:val="0"/>
              <w:bidi w:val="0"/>
              <w:snapToGrid/>
              <w:spacing w:line="24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建筑高度</w:t>
            </w:r>
          </w:p>
        </w:tc>
        <w:tc>
          <w:tcPr>
            <w:tcW w:w="4200" w:type="dxa"/>
            <w:noWrap w:val="0"/>
            <w:vAlign w:val="center"/>
          </w:tcPr>
          <w:p>
            <w:pPr>
              <w:pStyle w:val="16"/>
              <w:keepNext w:val="0"/>
              <w:keepLines w:val="0"/>
              <w:pageBreakBefore w:val="0"/>
              <w:widowControl w:val="0"/>
              <w:kinsoku/>
              <w:wordWrap/>
              <w:overflowPunct/>
              <w:topLinePunct w:val="0"/>
              <w:bidi w:val="0"/>
              <w:snapToGrid/>
              <w:spacing w:line="240" w:lineRule="auto"/>
              <w:jc w:val="center"/>
              <w:textAlignment w:val="auto"/>
              <w:rPr>
                <w:rFonts w:hint="eastAsia" w:ascii="方正仿宋_GB2312" w:hAnsi="方正仿宋_GB2312" w:eastAsia="方正仿宋_GB2312" w:cs="方正仿宋_GB2312"/>
                <w:color w:val="000000"/>
                <w:sz w:val="22"/>
                <w:szCs w:val="22"/>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jc w:val="center"/>
              <w:textAlignment w:val="auto"/>
              <w:rPr>
                <w:rFonts w:hint="default" w:ascii="方正仿宋_GB2312" w:hAnsi="方正仿宋_GB2312" w:eastAsia="方正仿宋_GB2312" w:cs="方正仿宋_GB2312"/>
                <w:color w:val="000000"/>
                <w:sz w:val="18"/>
                <w:szCs w:val="21"/>
                <w:vertAlign w:val="baseline"/>
                <w:lang w:val="en-US" w:eastAsia="zh-CN"/>
              </w:rPr>
            </w:pPr>
            <w:r>
              <w:rPr>
                <w:rFonts w:hint="eastAsia" w:ascii="方正仿宋_GB2312" w:hAnsi="方正仿宋_GB2312" w:eastAsia="方正仿宋_GB2312" w:cs="方正仿宋_GB2312"/>
                <w:b w:val="0"/>
                <w:bCs w:val="0"/>
                <w:color w:val="000000"/>
                <w:sz w:val="18"/>
                <w:szCs w:val="18"/>
                <w:lang w:val="en-US" w:eastAsia="zh-CN"/>
              </w:rPr>
              <w:t>451402-JCB-DL-01-01</w:t>
            </w:r>
          </w:p>
        </w:tc>
        <w:tc>
          <w:tcPr>
            <w:tcW w:w="975" w:type="dxa"/>
            <w:noWrap w:val="0"/>
            <w:vAlign w:val="center"/>
          </w:tcPr>
          <w:p>
            <w:pPr>
              <w:pStyle w:val="16"/>
              <w:spacing w:line="360" w:lineRule="auto"/>
              <w:jc w:val="center"/>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≥0.8</w:t>
            </w:r>
          </w:p>
        </w:tc>
        <w:tc>
          <w:tcPr>
            <w:tcW w:w="1434" w:type="dxa"/>
            <w:noWrap w:val="0"/>
            <w:vAlign w:val="center"/>
          </w:tcPr>
          <w:p>
            <w:pPr>
              <w:pStyle w:val="16"/>
              <w:spacing w:line="360" w:lineRule="auto"/>
              <w:jc w:val="center"/>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≥40%</w:t>
            </w:r>
          </w:p>
        </w:tc>
        <w:tc>
          <w:tcPr>
            <w:tcW w:w="1055" w:type="dxa"/>
            <w:noWrap w:val="0"/>
            <w:vAlign w:val="center"/>
          </w:tcPr>
          <w:p>
            <w:pPr>
              <w:pStyle w:val="16"/>
              <w:spacing w:line="360" w:lineRule="auto"/>
              <w:jc w:val="center"/>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≤20%</w:t>
            </w:r>
          </w:p>
        </w:tc>
        <w:tc>
          <w:tcPr>
            <w:tcW w:w="1082" w:type="dxa"/>
            <w:noWrap w:val="0"/>
            <w:vAlign w:val="center"/>
          </w:tcPr>
          <w:p>
            <w:pPr>
              <w:pStyle w:val="16"/>
              <w:spacing w:line="360" w:lineRule="auto"/>
              <w:jc w:val="center"/>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≤36M</w:t>
            </w:r>
          </w:p>
        </w:tc>
        <w:tc>
          <w:tcPr>
            <w:tcW w:w="420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jc w:val="left"/>
              <w:textAlignment w:val="auto"/>
              <w:rPr>
                <w:rFonts w:hint="eastAsia" w:ascii="方正仿宋_GB2312" w:hAnsi="方正仿宋_GB2312" w:eastAsia="方正仿宋_GB2312" w:cs="方正仿宋_GB2312"/>
                <w:color w:val="000000"/>
                <w:sz w:val="22"/>
                <w:szCs w:val="22"/>
                <w:vertAlign w:val="baseline"/>
                <w:lang w:val="en-US" w:eastAsia="zh-CN"/>
              </w:rPr>
            </w:pPr>
            <w:r>
              <w:rPr>
                <w:rFonts w:hint="eastAsia" w:ascii="方正仿宋_GB2312" w:hAnsi="方正仿宋_GB2312" w:eastAsia="方正仿宋_GB2312" w:cs="方正仿宋_GB2312"/>
                <w:b w:val="0"/>
                <w:bCs w:val="0"/>
                <w:color w:val="000000"/>
                <w:sz w:val="16"/>
                <w:szCs w:val="16"/>
                <w:lang w:val="en-US" w:eastAsia="zh-CN"/>
              </w:rPr>
              <w:t>工业项目用地范围内行政办公及生活服务设施用地不得分割转让；原则上用地面积不得大于工业项目总用地面积的7%，建筑面积不得大于工业项目总建筑面积的15%。严禁建造成套住宅、专家楼、宾馆、招待所和培训中心等非生产性配套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8" w:type="dxa"/>
            <w:noWrap w:val="0"/>
            <w:vAlign w:val="center"/>
          </w:tcPr>
          <w:p>
            <w:pPr>
              <w:pStyle w:val="16"/>
              <w:keepNext w:val="0"/>
              <w:keepLines w:val="0"/>
              <w:pageBreakBefore w:val="0"/>
              <w:widowControl w:val="0"/>
              <w:kinsoku/>
              <w:wordWrap/>
              <w:overflowPunct/>
              <w:topLinePunct w:val="0"/>
              <w:bidi w:val="0"/>
              <w:snapToGrid/>
              <w:spacing w:line="360" w:lineRule="auto"/>
              <w:jc w:val="center"/>
              <w:textAlignment w:val="auto"/>
              <w:rPr>
                <w:rFonts w:hint="default"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451402-JCB-DL-01-02</w:t>
            </w:r>
          </w:p>
        </w:tc>
        <w:tc>
          <w:tcPr>
            <w:tcW w:w="975" w:type="dxa"/>
            <w:noWrap w:val="0"/>
            <w:vAlign w:val="center"/>
          </w:tcPr>
          <w:p>
            <w:pPr>
              <w:pStyle w:val="16"/>
              <w:keepNext w:val="0"/>
              <w:keepLines w:val="0"/>
              <w:pageBreakBefore w:val="0"/>
              <w:widowControl w:val="0"/>
              <w:kinsoku/>
              <w:wordWrap/>
              <w:overflowPunct/>
              <w:topLinePunct w:val="0"/>
              <w:bidi w:val="0"/>
              <w:snapToGrid/>
              <w:spacing w:line="36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w:t>
            </w:r>
          </w:p>
        </w:tc>
        <w:tc>
          <w:tcPr>
            <w:tcW w:w="1434" w:type="dxa"/>
            <w:noWrap w:val="0"/>
            <w:vAlign w:val="center"/>
          </w:tcPr>
          <w:p>
            <w:pPr>
              <w:pStyle w:val="16"/>
              <w:keepNext w:val="0"/>
              <w:keepLines w:val="0"/>
              <w:pageBreakBefore w:val="0"/>
              <w:widowControl w:val="0"/>
              <w:kinsoku/>
              <w:wordWrap/>
              <w:overflowPunct/>
              <w:topLinePunct w:val="0"/>
              <w:bidi w:val="0"/>
              <w:snapToGrid/>
              <w:spacing w:line="36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w:t>
            </w:r>
          </w:p>
        </w:tc>
        <w:tc>
          <w:tcPr>
            <w:tcW w:w="1055" w:type="dxa"/>
            <w:noWrap w:val="0"/>
            <w:vAlign w:val="center"/>
          </w:tcPr>
          <w:p>
            <w:pPr>
              <w:pStyle w:val="16"/>
              <w:keepNext w:val="0"/>
              <w:keepLines w:val="0"/>
              <w:pageBreakBefore w:val="0"/>
              <w:widowControl w:val="0"/>
              <w:kinsoku/>
              <w:wordWrap/>
              <w:overflowPunct/>
              <w:topLinePunct w:val="0"/>
              <w:bidi w:val="0"/>
              <w:snapToGrid/>
              <w:spacing w:line="36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≥75%</w:t>
            </w:r>
          </w:p>
        </w:tc>
        <w:tc>
          <w:tcPr>
            <w:tcW w:w="1082" w:type="dxa"/>
            <w:noWrap w:val="0"/>
            <w:vAlign w:val="center"/>
          </w:tcPr>
          <w:p>
            <w:pPr>
              <w:pStyle w:val="16"/>
              <w:keepNext w:val="0"/>
              <w:keepLines w:val="0"/>
              <w:pageBreakBefore w:val="0"/>
              <w:widowControl w:val="0"/>
              <w:kinsoku/>
              <w:wordWrap/>
              <w:overflowPunct/>
              <w:topLinePunct w:val="0"/>
              <w:bidi w:val="0"/>
              <w:snapToGrid/>
              <w:spacing w:line="360" w:lineRule="auto"/>
              <w:jc w:val="center"/>
              <w:textAlignment w:val="auto"/>
              <w:rPr>
                <w:rFonts w:hint="eastAsia" w:ascii="方正仿宋_GB2312" w:hAnsi="方正仿宋_GB2312" w:eastAsia="方正仿宋_GB2312" w:cs="方正仿宋_GB2312"/>
                <w:color w:val="000000"/>
                <w:sz w:val="21"/>
                <w:szCs w:val="21"/>
                <w:vertAlign w:val="baseline"/>
                <w:lang w:val="en-US" w:eastAsia="zh-CN"/>
              </w:rPr>
            </w:pPr>
            <w:r>
              <w:rPr>
                <w:rFonts w:hint="eastAsia" w:ascii="方正仿宋_GB2312" w:hAnsi="方正仿宋_GB2312" w:eastAsia="方正仿宋_GB2312" w:cs="方正仿宋_GB2312"/>
                <w:color w:val="000000"/>
                <w:sz w:val="21"/>
                <w:szCs w:val="21"/>
                <w:vertAlign w:val="baseline"/>
                <w:lang w:val="en-US" w:eastAsia="zh-CN"/>
              </w:rPr>
              <w:t>-</w:t>
            </w:r>
          </w:p>
        </w:tc>
        <w:tc>
          <w:tcPr>
            <w:tcW w:w="4200" w:type="dxa"/>
            <w:noWrap w:val="0"/>
            <w:vAlign w:val="center"/>
          </w:tcPr>
          <w:p>
            <w:pPr>
              <w:pStyle w:val="16"/>
              <w:keepNext w:val="0"/>
              <w:keepLines w:val="0"/>
              <w:pageBreakBefore w:val="0"/>
              <w:widowControl w:val="0"/>
              <w:kinsoku/>
              <w:wordWrap/>
              <w:overflowPunct/>
              <w:topLinePunct w:val="0"/>
              <w:bidi w:val="0"/>
              <w:snapToGrid/>
              <w:spacing w:line="360" w:lineRule="auto"/>
              <w:jc w:val="center"/>
              <w:textAlignment w:val="auto"/>
              <w:rPr>
                <w:rFonts w:hint="eastAsia" w:ascii="方正仿宋_GB2312" w:hAnsi="方正仿宋_GB2312" w:eastAsia="方正仿宋_GB2312" w:cs="方正仿宋_GB2312"/>
                <w:color w:val="000000"/>
                <w:sz w:val="22"/>
                <w:szCs w:val="22"/>
                <w:vertAlign w:val="baseline"/>
                <w:lang w:val="en-US" w:eastAsia="zh-CN"/>
              </w:rPr>
            </w:pPr>
          </w:p>
        </w:tc>
      </w:tr>
    </w:tbl>
    <w:p>
      <w:pPr>
        <w:pStyle w:val="3"/>
        <w:bidi w:val="0"/>
        <w:ind w:firstLine="562" w:firstLineChars="200"/>
        <w:rPr>
          <w:rFonts w:hint="eastAsia" w:ascii="方正仿宋_GB2312" w:hAnsi="方正仿宋_GB2312" w:eastAsia="方正仿宋_GB2312" w:cs="方正仿宋_GB2312"/>
          <w:color w:val="000000"/>
          <w:sz w:val="28"/>
          <w:szCs w:val="28"/>
          <w:lang w:val="en-US" w:eastAsia="zh-CN"/>
        </w:rPr>
      </w:pPr>
      <w:r>
        <w:rPr>
          <w:rFonts w:hint="eastAsia" w:ascii="方正仿宋_GB2312" w:hAnsi="方正仿宋_GB2312" w:eastAsia="方正仿宋_GB2312" w:cs="方正仿宋_GB2312"/>
          <w:color w:val="000000"/>
          <w:sz w:val="28"/>
          <w:szCs w:val="28"/>
          <w:lang w:val="en-US" w:eastAsia="zh-CN"/>
        </w:rPr>
        <w:t>（三）建筑建造控制</w:t>
      </w:r>
    </w:p>
    <w:p>
      <w:pPr>
        <w:spacing w:line="360" w:lineRule="auto"/>
        <w:ind w:firstLine="562" w:firstLineChars="200"/>
        <w:rPr>
          <w:rFonts w:hint="eastAsia" w:ascii="方正仿宋_GB2312" w:hAnsi="方正仿宋_GB2312" w:eastAsia="方正仿宋_GB2312" w:cs="方正仿宋_GB2312"/>
          <w:b/>
          <w:bCs/>
          <w:color w:val="000000"/>
          <w:sz w:val="28"/>
          <w:szCs w:val="28"/>
          <w:lang w:val="zh-CN" w:eastAsia="zh-CN"/>
        </w:rPr>
      </w:pPr>
      <w:r>
        <w:rPr>
          <w:rFonts w:hint="eastAsia" w:ascii="方正仿宋_GB2312" w:hAnsi="方正仿宋_GB2312" w:eastAsia="方正仿宋_GB2312" w:cs="方正仿宋_GB2312"/>
          <w:b/>
          <w:bCs/>
          <w:color w:val="000000"/>
          <w:sz w:val="28"/>
          <w:szCs w:val="28"/>
          <w:lang w:val="en-US" w:eastAsia="zh-CN"/>
        </w:rPr>
        <w:t>1.</w:t>
      </w:r>
      <w:r>
        <w:rPr>
          <w:rFonts w:hint="eastAsia" w:ascii="方正仿宋_GB2312" w:hAnsi="方正仿宋_GB2312" w:eastAsia="方正仿宋_GB2312" w:cs="方正仿宋_GB2312"/>
          <w:b/>
          <w:bCs/>
          <w:color w:val="000000"/>
          <w:sz w:val="28"/>
          <w:szCs w:val="28"/>
          <w:lang w:val="zh-CN" w:eastAsia="zh-CN"/>
        </w:rPr>
        <w:t>建筑退界控制</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（1）地块北侧区域沿用地边界退让</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br w:type="textWrapping"/>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地块北侧紧靠合那高速公路，根据合那高速公路两侧</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建筑控制区的范围</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要求，地块北侧沿用地边界</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退让距离按</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30米</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控制。</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（2）地块东侧、南侧、北侧区域沿用地边界退让</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地块东侧、南侧、北侧</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沿用地边界的建筑，其退让距离按</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9米</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控制，但退让距离小于消防间距时，应按消防间距的规定控制。</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3</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）建筑沿</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内部</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道路红线退让</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内部</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道路两侧新建、改建建筑，除本规划生效前已经批准的详细规划另有规定外，其后退道路红线的距离不得小于</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3米</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bookmarkStart w:id="163" w:name="_Toc407"/>
      <w:bookmarkStart w:id="164" w:name="_Toc7271"/>
      <w:bookmarkStart w:id="165" w:name="_Toc11516"/>
      <w:bookmarkStart w:id="166" w:name="_Toc14539"/>
      <w:bookmarkStart w:id="167" w:name="_Toc31764"/>
      <w:bookmarkStart w:id="168" w:name="_Toc32467"/>
      <w:bookmarkStart w:id="169" w:name="_Toc19503"/>
      <w:bookmarkStart w:id="170" w:name="_Toc20786"/>
      <w:bookmarkStart w:id="171" w:name="_Toc2903"/>
      <w:bookmarkStart w:id="172" w:name="_Toc22851"/>
      <w:bookmarkStart w:id="173" w:name="_Toc18860"/>
      <w:bookmarkStart w:id="174" w:name="_Toc6421"/>
      <w:bookmarkStart w:id="175" w:name="_Toc18592"/>
      <w:bookmarkStart w:id="176" w:name="_Toc28490"/>
      <w:bookmarkStart w:id="177" w:name="_Toc31690"/>
      <w:bookmarkStart w:id="178" w:name="_Toc23244"/>
      <w:bookmarkStart w:id="179" w:name="_Toc9954"/>
      <w:bookmarkStart w:id="180" w:name="_Toc11845"/>
      <w:bookmarkStart w:id="181" w:name="_Toc31139"/>
      <w:bookmarkStart w:id="182" w:name="_Toc7862"/>
      <w:bookmarkStart w:id="183" w:name="_Toc15176"/>
      <w:bookmarkStart w:id="184" w:name="_Toc5951"/>
      <w:bookmarkStart w:id="185" w:name="_Toc17195"/>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（4）建筑间距控制</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color w:val="000000"/>
          <w:sz w:val="28"/>
          <w:szCs w:val="28"/>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非居住建筑的间距，按消防间距的规定控制。</w:t>
      </w:r>
    </w:p>
    <w:p>
      <w:pPr>
        <w:pStyle w:val="3"/>
        <w:bidi w:val="0"/>
        <w:ind w:firstLine="562" w:firstLineChars="200"/>
        <w:rPr>
          <w:rFonts w:hint="eastAsia" w:ascii="方正仿宋_GB2312" w:hAnsi="方正仿宋_GB2312" w:eastAsia="方正仿宋_GB2312" w:cs="方正仿宋_GB2312"/>
          <w:color w:val="000000"/>
          <w:sz w:val="28"/>
          <w:szCs w:val="28"/>
          <w:lang w:val="en-US" w:eastAsia="zh-CN"/>
        </w:rPr>
      </w:pPr>
      <w:r>
        <w:rPr>
          <w:rFonts w:hint="eastAsia" w:ascii="方正仿宋_GB2312" w:hAnsi="方正仿宋_GB2312" w:eastAsia="方正仿宋_GB2312" w:cs="方正仿宋_GB2312"/>
          <w:color w:val="000000"/>
          <w:sz w:val="28"/>
          <w:szCs w:val="28"/>
          <w:lang w:val="en-US" w:eastAsia="zh-CN"/>
        </w:rPr>
        <w:t>（四）交通指标控制</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pPr>
      <w:bookmarkStart w:id="186" w:name="_Toc20413"/>
      <w:bookmarkStart w:id="187" w:name="_Toc23103"/>
      <w:bookmarkStart w:id="188" w:name="_Toc29578"/>
      <w:bookmarkStart w:id="189" w:name="_Toc1680"/>
      <w:bookmarkStart w:id="190" w:name="_Toc17314"/>
      <w:bookmarkStart w:id="191" w:name="_Toc26398"/>
      <w:bookmarkStart w:id="192" w:name="_Toc8084"/>
      <w:bookmarkStart w:id="193" w:name="_Toc25610"/>
      <w:bookmarkStart w:id="194" w:name="_Toc22621"/>
      <w:bookmarkStart w:id="195" w:name="_Toc30572"/>
      <w:bookmarkStart w:id="196" w:name="_Toc32548"/>
      <w:bookmarkStart w:id="197" w:name="_Toc24395"/>
      <w:bookmarkStart w:id="198" w:name="_Toc22044"/>
      <w:bookmarkStart w:id="199" w:name="_Toc27477"/>
      <w:bookmarkStart w:id="200" w:name="_Toc19334"/>
      <w:bookmarkStart w:id="201" w:name="_Toc8537"/>
      <w:bookmarkStart w:id="202" w:name="_Toc6042"/>
      <w:bookmarkStart w:id="203" w:name="_Toc7454"/>
      <w:bookmarkStart w:id="204" w:name="_Toc22209"/>
      <w:bookmarkStart w:id="205" w:name="_Toc8933"/>
      <w:bookmarkStart w:id="206" w:name="_Toc10609"/>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一</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）机动车出入口方位</w:t>
      </w:r>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bookmarkEnd w:id="206"/>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地块机动车出入口控制地块机动车入口的方位及数量，方便地块机动车出入。各地块机动车出入口方向和数量以及禁止机动车出入口设置的路段详见规划控制图则。一般每个地块设1-2个出入口。</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pPr>
      <w:bookmarkStart w:id="207" w:name="_Toc1772"/>
      <w:bookmarkStart w:id="208" w:name="_Toc30851"/>
      <w:bookmarkStart w:id="209" w:name="_Toc10452"/>
      <w:bookmarkStart w:id="210" w:name="_Toc21929"/>
      <w:bookmarkStart w:id="211" w:name="_Toc31417"/>
      <w:bookmarkStart w:id="212" w:name="_Toc8844"/>
      <w:bookmarkStart w:id="213" w:name="_Toc17727"/>
      <w:bookmarkStart w:id="214" w:name="_Toc12964"/>
      <w:bookmarkStart w:id="215" w:name="_Toc25129"/>
      <w:bookmarkStart w:id="216" w:name="_Toc8118"/>
      <w:bookmarkStart w:id="217" w:name="_Toc10301"/>
      <w:bookmarkStart w:id="218" w:name="_Toc32164"/>
      <w:bookmarkStart w:id="219" w:name="_Toc27870"/>
      <w:bookmarkStart w:id="220" w:name="_Toc3591"/>
      <w:bookmarkStart w:id="221" w:name="_Toc4474"/>
      <w:bookmarkStart w:id="222" w:name="_Toc19785"/>
      <w:bookmarkStart w:id="223" w:name="_Toc11289"/>
      <w:bookmarkStart w:id="224" w:name="_Toc9488"/>
      <w:bookmarkStart w:id="225" w:name="_Toc3285"/>
      <w:bookmarkStart w:id="226" w:name="_Toc15391"/>
      <w:bookmarkStart w:id="227" w:name="_Toc9112"/>
      <w:bookmarkStart w:id="228" w:name="_Toc22384"/>
      <w:bookmarkStart w:id="229" w:name="_Toc450"/>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二</w:t>
      </w: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w:t>
      </w:r>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Start w:id="230" w:name="_Toc17581"/>
      <w:bookmarkStart w:id="231" w:name="_Toc28018"/>
      <w:bookmarkStart w:id="232" w:name="_Toc17596"/>
      <w:bookmarkStart w:id="233" w:name="_Toc22511"/>
      <w:bookmarkStart w:id="234" w:name="_Toc14159"/>
      <w:bookmarkStart w:id="235" w:name="_Toc28995"/>
      <w:bookmarkStart w:id="236" w:name="_Toc10579"/>
      <w:bookmarkStart w:id="237" w:name="_Toc29987"/>
      <w:bookmarkStart w:id="238" w:name="_Toc9283"/>
      <w:bookmarkStart w:id="239" w:name="_Toc29103"/>
      <w:bookmarkStart w:id="240" w:name="_Toc10706"/>
      <w:bookmarkStart w:id="241" w:name="_Toc3264"/>
      <w:bookmarkStart w:id="242" w:name="_Toc2253"/>
      <w:bookmarkStart w:id="243" w:name="_Toc1872"/>
      <w:bookmarkStart w:id="244" w:name="_Toc31277"/>
      <w:bookmarkStart w:id="245" w:name="_Toc6783"/>
      <w:bookmarkStart w:id="246" w:name="_Toc6559"/>
      <w:bookmarkStart w:id="247" w:name="_Toc2619"/>
      <w:bookmarkStart w:id="248" w:name="_Toc28432"/>
      <w:bookmarkStart w:id="249" w:name="_Toc8177"/>
      <w:bookmarkStart w:id="250" w:name="_Toc23215"/>
      <w:bookmarkStart w:id="251" w:name="_Toc14641"/>
      <w:bookmarkStart w:id="252" w:name="_Toc11684"/>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停车泊位</w:t>
      </w:r>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p>
    <w:bookmarkEnd w:id="252"/>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right="0" w:firstLine="640"/>
        <w:jc w:val="left"/>
        <w:textAlignment w:val="auto"/>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pPr>
      <w:r>
        <w:rPr>
          <w:rFonts w:hint="eastAsia" w:ascii="方正仿宋_GB2312" w:hAnsi="方正仿宋_GB2312" w:eastAsia="方正仿宋_GB2312" w:cs="方正仿宋_GB2312"/>
          <w:i w:val="0"/>
          <w:iCs w:val="0"/>
          <w:caps w:val="0"/>
          <w:color w:val="000000"/>
          <w:spacing w:val="0"/>
          <w:sz w:val="28"/>
          <w:szCs w:val="28"/>
          <w:shd w:val="clear" w:color="auto" w:fill="FFFFFF"/>
          <w:lang w:val="zh-CN" w:eastAsia="zh-CN"/>
        </w:rPr>
        <w:t>机动车停车场用地面积按当量小汽车泊位计算，露天停车按每泊位25-30平方米计算，</w:t>
      </w:r>
      <w:r>
        <w:rPr>
          <w:rFonts w:hint="eastAsia" w:ascii="方正仿宋_GB2312" w:hAnsi="方正仿宋_GB2312" w:eastAsia="方正仿宋_GB2312" w:cs="方正仿宋_GB2312"/>
          <w:i w:val="0"/>
          <w:iCs w:val="0"/>
          <w:caps w:val="0"/>
          <w:color w:val="000000"/>
          <w:spacing w:val="0"/>
          <w:sz w:val="28"/>
          <w:szCs w:val="28"/>
          <w:shd w:val="clear" w:color="auto" w:fill="FFFFFF"/>
          <w:lang w:val="en-US" w:eastAsia="zh-CN"/>
        </w:rPr>
        <w:t>停车泊位控制指标按0.3-0.5车位/100㎡建筑面积测算。</w:t>
      </w:r>
    </w:p>
    <w:p>
      <w:pPr>
        <w:jc w:val="left"/>
        <w:rPr>
          <w:rFonts w:hint="eastAsia" w:ascii="方正仿宋_GB2312" w:hAnsi="方正仿宋_GB2312" w:eastAsia="方正仿宋_GB2312" w:cs="方正仿宋_GB2312"/>
          <w:b/>
          <w:bCs/>
          <w:sz w:val="32"/>
          <w:szCs w:val="40"/>
          <w:lang w:val="en-US" w:eastAsia="zh-CN"/>
        </w:rPr>
        <w:sectPr>
          <w:pgSz w:w="11906" w:h="16838"/>
          <w:pgMar w:top="1134" w:right="1080" w:bottom="1134" w:left="1080" w:header="851" w:footer="992" w:gutter="0"/>
          <w:pgNumType w:fmt="decimal"/>
          <w:cols w:space="720" w:num="1"/>
          <w:docGrid w:type="lines" w:linePitch="312" w:charSpace="0"/>
        </w:sectPr>
      </w:pPr>
    </w:p>
    <w:p>
      <w:pPr>
        <w:bidi w:val="0"/>
        <w:rPr>
          <w:rFonts w:hint="eastAsia" w:ascii="方正仿宋_GB2312" w:hAnsi="方正仿宋_GB2312" w:eastAsia="方正仿宋_GB2312" w:cs="方正仿宋_GB2312"/>
          <w:b/>
          <w:bCs/>
        </w:rPr>
      </w:pPr>
      <w:r>
        <w:rPr>
          <w:rFonts w:hint="eastAsia" w:ascii="方正仿宋_GB2312" w:hAnsi="方正仿宋_GB2312" w:eastAsia="方正仿宋_GB2312" w:cs="方正仿宋_GB2312"/>
          <w:b/>
          <w:bCs/>
          <w:lang w:val="en-US" w:eastAsia="zh-CN"/>
        </w:rPr>
        <w:t>附件一：地块</w:t>
      </w:r>
      <w:r>
        <w:rPr>
          <w:rFonts w:hint="eastAsia" w:ascii="方正仿宋_GB2312" w:hAnsi="方正仿宋_GB2312" w:eastAsia="方正仿宋_GB2312" w:cs="方正仿宋_GB2312"/>
          <w:b/>
          <w:bCs/>
        </w:rPr>
        <w:t>控制指标一览表</w:t>
      </w:r>
    </w:p>
    <w:tbl>
      <w:tblPr>
        <w:tblStyle w:val="1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2"/>
        <w:gridCol w:w="929"/>
        <w:gridCol w:w="1066"/>
        <w:gridCol w:w="1865"/>
        <w:gridCol w:w="2149"/>
        <w:gridCol w:w="1203"/>
        <w:gridCol w:w="866"/>
        <w:gridCol w:w="1663"/>
        <w:gridCol w:w="1023"/>
        <w:gridCol w:w="1017"/>
        <w:gridCol w:w="1064"/>
        <w:gridCol w:w="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rPr>
            </w:pPr>
            <w:r>
              <w:rPr>
                <w:rFonts w:hint="eastAsia" w:ascii="方正仿宋_GB2312" w:hAnsi="方正仿宋_GB2312" w:eastAsia="方正仿宋_GB2312" w:cs="方正仿宋_GB2312"/>
                <w:b w:val="0"/>
                <w:bCs w:val="0"/>
                <w:color w:val="000000"/>
                <w:sz w:val="15"/>
                <w:szCs w:val="15"/>
              </w:rPr>
              <w:t>地块编号</w:t>
            </w:r>
          </w:p>
        </w:tc>
        <w:tc>
          <w:tcPr>
            <w:tcW w:w="33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用地代码</w:t>
            </w:r>
          </w:p>
        </w:tc>
        <w:tc>
          <w:tcPr>
            <w:tcW w:w="37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rPr>
            </w:pPr>
            <w:r>
              <w:rPr>
                <w:rFonts w:hint="eastAsia" w:ascii="方正仿宋_GB2312" w:hAnsi="方正仿宋_GB2312" w:eastAsia="方正仿宋_GB2312" w:cs="方正仿宋_GB2312"/>
                <w:b w:val="0"/>
                <w:bCs w:val="0"/>
                <w:color w:val="000000"/>
                <w:sz w:val="15"/>
                <w:szCs w:val="15"/>
              </w:rPr>
              <w:t>用地性质</w:t>
            </w:r>
          </w:p>
        </w:tc>
        <w:tc>
          <w:tcPr>
            <w:tcW w:w="63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主导功能建筑面积比例（%）</w:t>
            </w:r>
          </w:p>
        </w:tc>
        <w:tc>
          <w:tcPr>
            <w:tcW w:w="72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不可兼容用地类型（负面清单）</w:t>
            </w:r>
          </w:p>
        </w:tc>
        <w:tc>
          <w:tcPr>
            <w:tcW w:w="42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rPr>
              <w:t>地块面积（㎡）</w:t>
            </w:r>
          </w:p>
        </w:tc>
        <w:tc>
          <w:tcPr>
            <w:tcW w:w="31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sz w:val="15"/>
                <w:szCs w:val="15"/>
                <w:lang w:eastAsia="zh-CN"/>
              </w:rPr>
            </w:pPr>
            <w:r>
              <w:rPr>
                <w:rFonts w:hint="eastAsia" w:ascii="方正仿宋_GB2312" w:hAnsi="方正仿宋_GB2312" w:eastAsia="方正仿宋_GB2312" w:cs="方正仿宋_GB2312"/>
                <w:b w:val="0"/>
                <w:bCs w:val="0"/>
                <w:color w:val="000000"/>
                <w:sz w:val="15"/>
                <w:szCs w:val="15"/>
                <w:lang w:val="en-US" w:eastAsia="zh-CN"/>
              </w:rPr>
              <w:t>容积率</w:t>
            </w:r>
          </w:p>
        </w:tc>
        <w:tc>
          <w:tcPr>
            <w:tcW w:w="57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eastAsia="zh-CN"/>
              </w:rPr>
            </w:pPr>
            <w:r>
              <w:rPr>
                <w:rFonts w:hint="eastAsia" w:ascii="方正仿宋_GB2312" w:hAnsi="方正仿宋_GB2312" w:eastAsia="方正仿宋_GB2312" w:cs="方正仿宋_GB2312"/>
                <w:b w:val="0"/>
                <w:bCs w:val="0"/>
                <w:color w:val="000000"/>
                <w:sz w:val="15"/>
                <w:szCs w:val="15"/>
                <w:lang w:val="en-US" w:eastAsia="zh-CN"/>
              </w:rPr>
              <w:t>建筑密度/建筑系数</w:t>
            </w:r>
            <w:r>
              <w:rPr>
                <w:rFonts w:hint="eastAsia" w:ascii="方正仿宋_GB2312" w:hAnsi="方正仿宋_GB2312" w:eastAsia="方正仿宋_GB2312" w:cs="方正仿宋_GB2312"/>
                <w:b w:val="0"/>
                <w:bCs w:val="0"/>
                <w:color w:val="000000"/>
                <w:sz w:val="15"/>
                <w:szCs w:val="15"/>
                <w:lang w:eastAsia="zh-CN"/>
              </w:rPr>
              <w:t>（</w:t>
            </w:r>
            <w:r>
              <w:rPr>
                <w:rFonts w:hint="eastAsia" w:ascii="方正仿宋_GB2312" w:hAnsi="方正仿宋_GB2312" w:eastAsia="方正仿宋_GB2312" w:cs="方正仿宋_GB2312"/>
                <w:b w:val="0"/>
                <w:bCs w:val="0"/>
                <w:color w:val="000000"/>
                <w:sz w:val="15"/>
                <w:szCs w:val="15"/>
                <w:lang w:val="en-US" w:eastAsia="zh-CN"/>
              </w:rPr>
              <w:t>%</w:t>
            </w:r>
            <w:r>
              <w:rPr>
                <w:rFonts w:hint="eastAsia" w:ascii="方正仿宋_GB2312" w:hAnsi="方正仿宋_GB2312" w:eastAsia="方正仿宋_GB2312" w:cs="方正仿宋_GB2312"/>
                <w:b w:val="0"/>
                <w:bCs w:val="0"/>
                <w:color w:val="000000"/>
                <w:sz w:val="15"/>
                <w:szCs w:val="15"/>
                <w:lang w:eastAsia="zh-CN"/>
              </w:rPr>
              <w:t>）</w:t>
            </w: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sz w:val="15"/>
                <w:szCs w:val="15"/>
                <w:lang w:eastAsia="zh-CN"/>
              </w:rPr>
            </w:pPr>
            <w:r>
              <w:rPr>
                <w:rFonts w:hint="eastAsia" w:ascii="方正仿宋_GB2312" w:hAnsi="方正仿宋_GB2312" w:eastAsia="方正仿宋_GB2312" w:cs="方正仿宋_GB2312"/>
                <w:b w:val="0"/>
                <w:bCs w:val="0"/>
                <w:color w:val="000000"/>
                <w:sz w:val="15"/>
                <w:szCs w:val="15"/>
                <w:lang w:eastAsia="zh-CN"/>
              </w:rPr>
              <w:t>绿地率（</w:t>
            </w:r>
            <w:r>
              <w:rPr>
                <w:rFonts w:hint="eastAsia" w:ascii="方正仿宋_GB2312" w:hAnsi="方正仿宋_GB2312" w:eastAsia="方正仿宋_GB2312" w:cs="方正仿宋_GB2312"/>
                <w:b w:val="0"/>
                <w:bCs w:val="0"/>
                <w:color w:val="000000"/>
                <w:sz w:val="15"/>
                <w:szCs w:val="15"/>
                <w:lang w:val="en-US" w:eastAsia="zh-CN"/>
              </w:rPr>
              <w:t>%</w:t>
            </w:r>
            <w:r>
              <w:rPr>
                <w:rFonts w:hint="eastAsia" w:ascii="方正仿宋_GB2312" w:hAnsi="方正仿宋_GB2312" w:eastAsia="方正仿宋_GB2312" w:cs="方正仿宋_GB2312"/>
                <w:b w:val="0"/>
                <w:bCs w:val="0"/>
                <w:color w:val="000000"/>
                <w:sz w:val="15"/>
                <w:szCs w:val="15"/>
                <w:lang w:eastAsia="zh-CN"/>
              </w:rPr>
              <w:t>）</w:t>
            </w:r>
          </w:p>
        </w:tc>
        <w:tc>
          <w:tcPr>
            <w:tcW w:w="3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eastAsia="zh-CN"/>
              </w:rPr>
              <w:t>建筑限高（</w:t>
            </w:r>
            <w:r>
              <w:rPr>
                <w:rFonts w:hint="eastAsia" w:ascii="方正仿宋_GB2312" w:hAnsi="方正仿宋_GB2312" w:eastAsia="方正仿宋_GB2312" w:cs="方正仿宋_GB2312"/>
                <w:b w:val="0"/>
                <w:bCs w:val="0"/>
                <w:color w:val="000000"/>
                <w:sz w:val="15"/>
                <w:szCs w:val="15"/>
                <w:lang w:val="en-US" w:eastAsia="zh-CN"/>
              </w:rPr>
              <w:t>m</w:t>
            </w:r>
            <w:r>
              <w:rPr>
                <w:rFonts w:hint="eastAsia" w:ascii="方正仿宋_GB2312" w:hAnsi="方正仿宋_GB2312" w:eastAsia="方正仿宋_GB2312" w:cs="方正仿宋_GB2312"/>
                <w:b w:val="0"/>
                <w:bCs w:val="0"/>
                <w:color w:val="000000"/>
                <w:sz w:val="15"/>
                <w:szCs w:val="15"/>
                <w:lang w:eastAsia="zh-CN"/>
              </w:rPr>
              <w:t>）</w:t>
            </w:r>
          </w:p>
        </w:tc>
        <w:tc>
          <w:tcPr>
            <w:tcW w:w="37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eastAsia="zh-CN"/>
              </w:rPr>
            </w:pPr>
            <w:r>
              <w:rPr>
                <w:rFonts w:hint="eastAsia" w:ascii="方正仿宋_GB2312" w:hAnsi="方正仿宋_GB2312" w:eastAsia="方正仿宋_GB2312" w:cs="方正仿宋_GB2312"/>
                <w:b w:val="0"/>
                <w:bCs w:val="0"/>
                <w:color w:val="000000"/>
                <w:sz w:val="15"/>
                <w:szCs w:val="15"/>
                <w:lang w:eastAsia="zh-CN"/>
              </w:rPr>
              <w:t>配套设施</w:t>
            </w:r>
          </w:p>
        </w:tc>
        <w:tc>
          <w:tcPr>
            <w:tcW w:w="24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2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8"/>
                <w:szCs w:val="18"/>
                <w:lang w:val="en-US" w:eastAsia="zh-CN"/>
              </w:rPr>
              <w:t>451402-JCB-DL-01-01</w:t>
            </w:r>
          </w:p>
        </w:tc>
        <w:tc>
          <w:tcPr>
            <w:tcW w:w="33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100102</w:t>
            </w:r>
          </w:p>
        </w:tc>
        <w:tc>
          <w:tcPr>
            <w:tcW w:w="37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二类工业用地</w:t>
            </w:r>
          </w:p>
        </w:tc>
        <w:tc>
          <w:tcPr>
            <w:tcW w:w="63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w:t>
            </w:r>
          </w:p>
        </w:tc>
        <w:tc>
          <w:tcPr>
            <w:tcW w:w="72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w:t>
            </w:r>
          </w:p>
        </w:tc>
        <w:tc>
          <w:tcPr>
            <w:tcW w:w="42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kern w:val="2"/>
                <w:sz w:val="15"/>
                <w:szCs w:val="15"/>
                <w:lang w:val="en-US" w:eastAsia="zh-CN" w:bidi="ar-SA"/>
              </w:rPr>
            </w:pPr>
            <w:r>
              <w:rPr>
                <w:rFonts w:hint="eastAsia" w:ascii="方正仿宋_GB2312" w:hAnsi="方正仿宋_GB2312" w:eastAsia="方正仿宋_GB2312" w:cs="方正仿宋_GB2312"/>
                <w:b w:val="0"/>
                <w:bCs w:val="0"/>
                <w:color w:val="000000"/>
                <w:sz w:val="15"/>
                <w:szCs w:val="15"/>
                <w:lang w:val="en-US" w:eastAsia="zh-CN"/>
              </w:rPr>
              <w:t>37874.95</w:t>
            </w:r>
          </w:p>
        </w:tc>
        <w:tc>
          <w:tcPr>
            <w:tcW w:w="315" w:type="pct"/>
            <w:noWrap w:val="0"/>
            <w:vAlign w:val="center"/>
          </w:tcPr>
          <w:p>
            <w:pPr>
              <w:pStyle w:val="16"/>
              <w:keepNext w:val="0"/>
              <w:keepLines w:val="0"/>
              <w:suppressLineNumbers w:val="0"/>
              <w:spacing w:before="0" w:beforeAutospacing="0" w:after="0" w:afterAutospacing="0" w:line="480" w:lineRule="auto"/>
              <w:ind w:left="0" w:leftChars="0" w:right="0" w:rightChars="0"/>
              <w:jc w:val="center"/>
              <w:rPr>
                <w:rFonts w:hint="eastAsia" w:ascii="方正仿宋_GB2312" w:hAnsi="方正仿宋_GB2312" w:eastAsia="方正仿宋_GB2312" w:cs="方正仿宋_GB2312"/>
                <w:b w:val="0"/>
                <w:bCs w:val="0"/>
                <w:color w:val="000000"/>
                <w:kern w:val="2"/>
                <w:sz w:val="15"/>
                <w:szCs w:val="15"/>
                <w:lang w:val="en-US" w:eastAsia="zh-CN" w:bidi="ar-SA"/>
              </w:rPr>
            </w:pPr>
            <w:r>
              <w:rPr>
                <w:rFonts w:hint="eastAsia" w:ascii="方正仿宋_GB2312" w:hAnsi="方正仿宋_GB2312" w:eastAsia="方正仿宋_GB2312" w:cs="方正仿宋_GB2312"/>
                <w:b w:val="0"/>
                <w:bCs w:val="0"/>
                <w:color w:val="000000"/>
                <w:kern w:val="2"/>
                <w:sz w:val="15"/>
                <w:szCs w:val="15"/>
                <w:lang w:val="en-US" w:eastAsia="zh-CN" w:bidi="ar-SA"/>
              </w:rPr>
              <w:t>≥0.8</w:t>
            </w:r>
          </w:p>
        </w:tc>
        <w:tc>
          <w:tcPr>
            <w:tcW w:w="570" w:type="pct"/>
            <w:noWrap w:val="0"/>
            <w:vAlign w:val="center"/>
          </w:tcPr>
          <w:p>
            <w:pPr>
              <w:pStyle w:val="16"/>
              <w:keepNext w:val="0"/>
              <w:keepLines w:val="0"/>
              <w:suppressLineNumbers w:val="0"/>
              <w:spacing w:before="0" w:beforeAutospacing="0" w:after="0" w:afterAutospacing="0" w:line="480" w:lineRule="auto"/>
              <w:ind w:left="0" w:leftChars="0" w:right="0" w:rightChars="0"/>
              <w:jc w:val="center"/>
              <w:rPr>
                <w:rFonts w:hint="eastAsia" w:ascii="方正仿宋_GB2312" w:hAnsi="方正仿宋_GB2312" w:eastAsia="方正仿宋_GB2312" w:cs="方正仿宋_GB2312"/>
                <w:b w:val="0"/>
                <w:bCs w:val="0"/>
                <w:color w:val="000000"/>
                <w:kern w:val="2"/>
                <w:sz w:val="15"/>
                <w:szCs w:val="15"/>
                <w:lang w:val="en-US" w:eastAsia="zh-CN" w:bidi="ar-SA"/>
              </w:rPr>
            </w:pPr>
            <w:r>
              <w:rPr>
                <w:rFonts w:hint="eastAsia" w:ascii="方正仿宋_GB2312" w:hAnsi="方正仿宋_GB2312" w:eastAsia="方正仿宋_GB2312" w:cs="方正仿宋_GB2312"/>
                <w:b w:val="0"/>
                <w:bCs w:val="0"/>
                <w:color w:val="000000"/>
                <w:kern w:val="2"/>
                <w:sz w:val="15"/>
                <w:szCs w:val="15"/>
                <w:lang w:val="en-US" w:eastAsia="zh-CN" w:bidi="ar-SA"/>
              </w:rPr>
              <w:t>≥40%</w:t>
            </w:r>
          </w:p>
        </w:tc>
        <w:tc>
          <w:tcPr>
            <w:tcW w:w="365" w:type="pct"/>
            <w:noWrap w:val="0"/>
            <w:vAlign w:val="center"/>
          </w:tcPr>
          <w:p>
            <w:pPr>
              <w:pStyle w:val="16"/>
              <w:keepNext w:val="0"/>
              <w:keepLines w:val="0"/>
              <w:suppressLineNumbers w:val="0"/>
              <w:spacing w:before="0" w:beforeAutospacing="0" w:after="0" w:afterAutospacing="0" w:line="480" w:lineRule="auto"/>
              <w:ind w:left="0" w:leftChars="0" w:right="0" w:rightChars="0"/>
              <w:jc w:val="center"/>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kern w:val="2"/>
                <w:sz w:val="15"/>
                <w:szCs w:val="15"/>
                <w:lang w:val="en-US" w:eastAsia="zh-CN" w:bidi="ar-SA"/>
              </w:rPr>
              <w:t>≤20%</w:t>
            </w:r>
          </w:p>
        </w:tc>
        <w:tc>
          <w:tcPr>
            <w:tcW w:w="3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≤36</w:t>
            </w:r>
          </w:p>
        </w:tc>
        <w:tc>
          <w:tcPr>
            <w:tcW w:w="37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1、2.3、4</w:t>
            </w:r>
          </w:p>
        </w:tc>
        <w:tc>
          <w:tcPr>
            <w:tcW w:w="24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2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8"/>
                <w:szCs w:val="18"/>
                <w:lang w:val="en-US" w:eastAsia="zh-CN"/>
              </w:rPr>
              <w:t>451402-JCB-DL-01-02</w:t>
            </w:r>
          </w:p>
        </w:tc>
        <w:tc>
          <w:tcPr>
            <w:tcW w:w="33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1402</w:t>
            </w:r>
          </w:p>
        </w:tc>
        <w:tc>
          <w:tcPr>
            <w:tcW w:w="37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bookmarkStart w:id="253" w:name="OLE_LINK3"/>
            <w:r>
              <w:rPr>
                <w:rFonts w:hint="eastAsia" w:ascii="方正仿宋_GB2312" w:hAnsi="方正仿宋_GB2312" w:eastAsia="方正仿宋_GB2312" w:cs="方正仿宋_GB2312"/>
                <w:b w:val="0"/>
                <w:bCs w:val="0"/>
                <w:color w:val="000000"/>
                <w:sz w:val="15"/>
                <w:szCs w:val="15"/>
                <w:lang w:val="en-US" w:eastAsia="zh-CN"/>
              </w:rPr>
              <w:t>防护绿地</w:t>
            </w:r>
            <w:bookmarkEnd w:id="253"/>
          </w:p>
        </w:tc>
        <w:tc>
          <w:tcPr>
            <w:tcW w:w="63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w:t>
            </w:r>
          </w:p>
        </w:tc>
        <w:tc>
          <w:tcPr>
            <w:tcW w:w="72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w:t>
            </w:r>
          </w:p>
        </w:tc>
        <w:tc>
          <w:tcPr>
            <w:tcW w:w="42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kern w:val="2"/>
                <w:sz w:val="15"/>
                <w:szCs w:val="15"/>
                <w:lang w:val="en-US" w:eastAsia="zh-CN" w:bidi="ar-SA"/>
              </w:rPr>
            </w:pPr>
            <w:r>
              <w:rPr>
                <w:rFonts w:hint="eastAsia" w:ascii="方正仿宋_GB2312" w:hAnsi="方正仿宋_GB2312" w:eastAsia="方正仿宋_GB2312" w:cs="方正仿宋_GB2312"/>
                <w:b w:val="0"/>
                <w:bCs w:val="0"/>
                <w:color w:val="000000"/>
                <w:sz w:val="15"/>
                <w:szCs w:val="15"/>
                <w:lang w:val="en-US" w:eastAsia="zh-CN"/>
              </w:rPr>
              <w:t>2518.14</w:t>
            </w:r>
          </w:p>
        </w:tc>
        <w:tc>
          <w:tcPr>
            <w:tcW w:w="315" w:type="pct"/>
            <w:noWrap w:val="0"/>
            <w:vAlign w:val="center"/>
          </w:tcPr>
          <w:p>
            <w:pPr>
              <w:pStyle w:val="16"/>
              <w:keepNext w:val="0"/>
              <w:keepLines w:val="0"/>
              <w:suppressLineNumbers w:val="0"/>
              <w:spacing w:before="0" w:beforeAutospacing="0" w:after="0" w:afterAutospacing="0" w:line="480" w:lineRule="auto"/>
              <w:ind w:left="0" w:leftChars="0" w:right="0" w:rightChars="0"/>
              <w:jc w:val="center"/>
              <w:rPr>
                <w:rFonts w:hint="eastAsia" w:ascii="方正仿宋_GB2312" w:hAnsi="方正仿宋_GB2312" w:eastAsia="方正仿宋_GB2312" w:cs="方正仿宋_GB2312"/>
                <w:b w:val="0"/>
                <w:bCs w:val="0"/>
                <w:color w:val="000000"/>
                <w:kern w:val="2"/>
                <w:sz w:val="15"/>
                <w:szCs w:val="15"/>
                <w:lang w:val="en-US" w:eastAsia="zh-CN" w:bidi="ar-SA"/>
              </w:rPr>
            </w:pPr>
            <w:r>
              <w:rPr>
                <w:rFonts w:hint="eastAsia" w:ascii="方正仿宋_GB2312" w:hAnsi="方正仿宋_GB2312" w:eastAsia="方正仿宋_GB2312" w:cs="方正仿宋_GB2312"/>
                <w:b w:val="0"/>
                <w:bCs w:val="0"/>
                <w:color w:val="000000"/>
                <w:kern w:val="2"/>
                <w:sz w:val="15"/>
                <w:szCs w:val="15"/>
                <w:lang w:val="en-US" w:eastAsia="zh-CN" w:bidi="ar-SA"/>
              </w:rPr>
              <w:t>-</w:t>
            </w:r>
          </w:p>
        </w:tc>
        <w:tc>
          <w:tcPr>
            <w:tcW w:w="570" w:type="pct"/>
            <w:noWrap w:val="0"/>
            <w:vAlign w:val="center"/>
          </w:tcPr>
          <w:p>
            <w:pPr>
              <w:pStyle w:val="16"/>
              <w:keepNext w:val="0"/>
              <w:keepLines w:val="0"/>
              <w:suppressLineNumbers w:val="0"/>
              <w:spacing w:before="0" w:beforeAutospacing="0" w:after="0" w:afterAutospacing="0" w:line="480" w:lineRule="auto"/>
              <w:ind w:left="0" w:leftChars="0" w:right="0" w:rightChars="0"/>
              <w:jc w:val="center"/>
              <w:rPr>
                <w:rFonts w:hint="eastAsia" w:ascii="方正仿宋_GB2312" w:hAnsi="方正仿宋_GB2312" w:eastAsia="方正仿宋_GB2312" w:cs="方正仿宋_GB2312"/>
                <w:b w:val="0"/>
                <w:bCs w:val="0"/>
                <w:color w:val="000000"/>
                <w:kern w:val="2"/>
                <w:sz w:val="15"/>
                <w:szCs w:val="15"/>
                <w:lang w:val="en-US" w:eastAsia="zh-CN" w:bidi="ar-SA"/>
              </w:rPr>
            </w:pPr>
            <w:r>
              <w:rPr>
                <w:rFonts w:hint="eastAsia" w:ascii="方正仿宋_GB2312" w:hAnsi="方正仿宋_GB2312" w:eastAsia="方正仿宋_GB2312" w:cs="方正仿宋_GB2312"/>
                <w:b w:val="0"/>
                <w:bCs w:val="0"/>
                <w:color w:val="000000"/>
                <w:kern w:val="2"/>
                <w:sz w:val="15"/>
                <w:szCs w:val="15"/>
                <w:lang w:val="en-US" w:eastAsia="zh-CN" w:bidi="ar-SA"/>
              </w:rPr>
              <w:t>-</w:t>
            </w:r>
          </w:p>
        </w:tc>
        <w:tc>
          <w:tcPr>
            <w:tcW w:w="365" w:type="pct"/>
            <w:noWrap w:val="0"/>
            <w:vAlign w:val="center"/>
          </w:tcPr>
          <w:p>
            <w:pPr>
              <w:pStyle w:val="16"/>
              <w:keepNext w:val="0"/>
              <w:keepLines w:val="0"/>
              <w:suppressLineNumbers w:val="0"/>
              <w:spacing w:before="0" w:beforeAutospacing="0" w:after="0" w:afterAutospacing="0" w:line="480" w:lineRule="auto"/>
              <w:ind w:left="0" w:leftChars="0" w:right="0" w:rightChars="0"/>
              <w:jc w:val="center"/>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kern w:val="2"/>
                <w:sz w:val="15"/>
                <w:szCs w:val="15"/>
                <w:lang w:val="en-US" w:eastAsia="zh-CN" w:bidi="ar-SA"/>
              </w:rPr>
              <w:t>≥75%</w:t>
            </w:r>
          </w:p>
        </w:tc>
        <w:tc>
          <w:tcPr>
            <w:tcW w:w="3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w:t>
            </w:r>
          </w:p>
        </w:tc>
        <w:tc>
          <w:tcPr>
            <w:tcW w:w="37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lang w:val="en-US" w:eastAsia="zh-CN"/>
              </w:rPr>
              <w:t>-</w:t>
            </w:r>
          </w:p>
        </w:tc>
        <w:tc>
          <w:tcPr>
            <w:tcW w:w="24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right="0"/>
              <w:jc w:val="center"/>
              <w:textAlignment w:val="auto"/>
              <w:rPr>
                <w:rFonts w:hint="eastAsia" w:ascii="方正仿宋_GB2312" w:hAnsi="方正仿宋_GB2312" w:eastAsia="方正仿宋_GB2312" w:cs="方正仿宋_GB2312"/>
                <w:b w:val="0"/>
                <w:bCs w:val="0"/>
                <w:color w:val="000000"/>
                <w:sz w:val="15"/>
                <w:szCs w:val="15"/>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52" w:type="pct"/>
            <w:gridSpan w:val="11"/>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left"/>
              <w:textAlignment w:val="auto"/>
              <w:rPr>
                <w:rFonts w:hint="eastAsia" w:ascii="方正仿宋_GB2312" w:hAnsi="方正仿宋_GB2312" w:eastAsia="方正仿宋_GB2312" w:cs="方正仿宋_GB2312"/>
                <w:b w:val="0"/>
                <w:bCs w:val="0"/>
                <w:color w:val="000000"/>
                <w:sz w:val="15"/>
                <w:szCs w:val="15"/>
                <w:lang w:val="en-US" w:eastAsia="zh-CN"/>
              </w:rPr>
            </w:pPr>
            <w:r>
              <w:rPr>
                <w:rFonts w:hint="eastAsia" w:ascii="方正仿宋_GB2312" w:hAnsi="方正仿宋_GB2312" w:eastAsia="方正仿宋_GB2312" w:cs="方正仿宋_GB2312"/>
                <w:b w:val="0"/>
                <w:bCs w:val="0"/>
                <w:color w:val="000000"/>
                <w:sz w:val="15"/>
                <w:szCs w:val="15"/>
                <w:vertAlign w:val="baseline"/>
                <w:lang w:val="en-US" w:eastAsia="zh-CN"/>
              </w:rPr>
              <w:t>1</w:t>
            </w:r>
            <w:r>
              <w:rPr>
                <w:rFonts w:hint="eastAsia" w:ascii="方正仿宋_GB2312" w:hAnsi="方正仿宋_GB2312" w:eastAsia="方正仿宋_GB2312" w:cs="方正仿宋_GB2312"/>
                <w:b w:val="0"/>
                <w:bCs w:val="0"/>
                <w:color w:val="000000"/>
                <w:sz w:val="15"/>
                <w:szCs w:val="15"/>
                <w:vertAlign w:val="baseline"/>
              </w:rPr>
              <w:t>、</w:t>
            </w:r>
            <w:r>
              <w:rPr>
                <w:rFonts w:hint="eastAsia" w:ascii="方正仿宋_GB2312" w:hAnsi="方正仿宋_GB2312" w:eastAsia="方正仿宋_GB2312" w:cs="方正仿宋_GB2312"/>
                <w:b w:val="0"/>
                <w:bCs w:val="0"/>
                <w:color w:val="000000"/>
                <w:sz w:val="15"/>
                <w:szCs w:val="15"/>
                <w:vertAlign w:val="baseline"/>
                <w:lang w:val="en-US" w:eastAsia="zh-CN"/>
              </w:rPr>
              <w:t>给水泵房</w:t>
            </w:r>
            <w:r>
              <w:rPr>
                <w:rFonts w:hint="eastAsia" w:ascii="方正仿宋_GB2312" w:hAnsi="方正仿宋_GB2312" w:eastAsia="方正仿宋_GB2312" w:cs="方正仿宋_GB2312"/>
                <w:b w:val="0"/>
                <w:bCs w:val="0"/>
                <w:color w:val="000000"/>
                <w:sz w:val="15"/>
                <w:szCs w:val="15"/>
                <w:vertAlign w:val="baseline"/>
              </w:rPr>
              <w:t xml:space="preserve"> </w:t>
            </w:r>
            <w:r>
              <w:rPr>
                <w:rFonts w:hint="eastAsia" w:ascii="方正仿宋_GB2312" w:hAnsi="方正仿宋_GB2312" w:eastAsia="方正仿宋_GB2312" w:cs="方正仿宋_GB2312"/>
                <w:b w:val="0"/>
                <w:bCs w:val="0"/>
                <w:color w:val="000000"/>
                <w:sz w:val="15"/>
                <w:szCs w:val="15"/>
                <w:vertAlign w:val="baseline"/>
                <w:lang w:val="en-US" w:eastAsia="zh-CN"/>
              </w:rPr>
              <w:t xml:space="preserve"> 2、集中污水处理设施  3</w:t>
            </w:r>
            <w:r>
              <w:rPr>
                <w:rFonts w:hint="eastAsia" w:ascii="方正仿宋_GB2312" w:hAnsi="方正仿宋_GB2312" w:eastAsia="方正仿宋_GB2312" w:cs="方正仿宋_GB2312"/>
                <w:b w:val="0"/>
                <w:bCs w:val="0"/>
                <w:color w:val="000000"/>
                <w:sz w:val="15"/>
                <w:szCs w:val="15"/>
                <w:vertAlign w:val="baseline"/>
              </w:rPr>
              <w:t>、</w:t>
            </w:r>
            <w:r>
              <w:rPr>
                <w:rFonts w:hint="eastAsia" w:ascii="方正仿宋_GB2312" w:hAnsi="方正仿宋_GB2312" w:eastAsia="方正仿宋_GB2312" w:cs="方正仿宋_GB2312"/>
                <w:b w:val="0"/>
                <w:bCs w:val="0"/>
                <w:color w:val="000000"/>
                <w:sz w:val="15"/>
                <w:szCs w:val="15"/>
                <w:vertAlign w:val="baseline"/>
                <w:lang w:val="en-US" w:eastAsia="zh-CN"/>
              </w:rPr>
              <w:t>消防水池  4</w:t>
            </w:r>
            <w:r>
              <w:rPr>
                <w:rFonts w:hint="eastAsia" w:ascii="方正仿宋_GB2312" w:hAnsi="方正仿宋_GB2312" w:eastAsia="方正仿宋_GB2312" w:cs="方正仿宋_GB2312"/>
                <w:b w:val="0"/>
                <w:bCs w:val="0"/>
                <w:color w:val="000000"/>
                <w:sz w:val="15"/>
                <w:szCs w:val="15"/>
                <w:vertAlign w:val="baseline"/>
              </w:rPr>
              <w:t>、</w:t>
            </w:r>
            <w:r>
              <w:rPr>
                <w:rFonts w:hint="eastAsia" w:ascii="方正仿宋_GB2312" w:hAnsi="方正仿宋_GB2312" w:eastAsia="方正仿宋_GB2312" w:cs="方正仿宋_GB2312"/>
                <w:b w:val="0"/>
                <w:bCs w:val="0"/>
                <w:color w:val="000000"/>
                <w:sz w:val="15"/>
                <w:szCs w:val="15"/>
                <w:vertAlign w:val="baseline"/>
                <w:lang w:val="en-US" w:eastAsia="zh-CN"/>
              </w:rPr>
              <w:t>停车场</w:t>
            </w:r>
          </w:p>
        </w:tc>
        <w:tc>
          <w:tcPr>
            <w:tcW w:w="24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480" w:lineRule="auto"/>
              <w:ind w:left="0" w:leftChars="0" w:right="0" w:rightChars="0"/>
              <w:jc w:val="left"/>
              <w:textAlignment w:val="auto"/>
              <w:rPr>
                <w:rFonts w:hint="eastAsia" w:ascii="方正仿宋_GB2312" w:hAnsi="方正仿宋_GB2312" w:eastAsia="方正仿宋_GB2312" w:cs="方正仿宋_GB2312"/>
                <w:b w:val="0"/>
                <w:bCs w:val="0"/>
                <w:color w:val="000000"/>
                <w:sz w:val="15"/>
                <w:szCs w:val="15"/>
                <w:vertAlign w:val="baseline"/>
                <w:lang w:val="en-US" w:eastAsia="zh-CN"/>
              </w:rPr>
            </w:pPr>
          </w:p>
        </w:tc>
      </w:tr>
    </w:tbl>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eastAsia="zh-CN"/>
        </w:rPr>
      </w:pPr>
    </w:p>
    <w:p>
      <w:pPr>
        <w:bidi w:val="0"/>
        <w:rPr>
          <w:rFonts w:hint="eastAsia" w:ascii="方正仿宋_GB2312" w:hAnsi="方正仿宋_GB2312" w:eastAsia="方正仿宋_GB2312" w:cs="方正仿宋_GB2312"/>
          <w:b/>
          <w:bCs/>
          <w:lang w:val="en-US"/>
        </w:rPr>
      </w:pPr>
      <w:r>
        <w:rPr>
          <w:rFonts w:hint="eastAsia" w:ascii="方正仿宋_GB2312" w:hAnsi="方正仿宋_GB2312" w:eastAsia="方正仿宋_GB2312" w:cs="方正仿宋_GB2312"/>
          <w:b/>
          <w:bCs/>
          <w:lang w:val="en-US" w:eastAsia="zh-CN"/>
        </w:rPr>
        <w:t>附件二：主要图纸</w:t>
      </w:r>
    </w:p>
    <w:p>
      <w:pPr>
        <w:jc w:val="center"/>
        <w:rPr>
          <w:rFonts w:hint="eastAsia" w:ascii="方正仿宋_GB2312" w:hAnsi="方正仿宋_GB2312" w:eastAsia="方正仿宋_GB2312" w:cs="方正仿宋_GB2312"/>
          <w:b/>
          <w:bCs/>
          <w:sz w:val="28"/>
          <w:szCs w:val="36"/>
          <w:lang w:val="en-US" w:eastAsia="zh-CN"/>
        </w:rPr>
      </w:pPr>
      <w:r>
        <w:rPr>
          <w:rFonts w:hint="eastAsia" w:ascii="方正仿宋_GB2312" w:hAnsi="方正仿宋_GB2312" w:eastAsia="方正仿宋_GB2312" w:cs="方正仿宋_GB2312"/>
          <w:b/>
          <w:bCs/>
          <w:sz w:val="28"/>
          <w:szCs w:val="36"/>
          <w:lang w:val="en-US" w:eastAsia="zh-CN"/>
        </w:rPr>
        <w:drawing>
          <wp:inline distT="0" distB="0" distL="114300" distR="114300">
            <wp:extent cx="8627110" cy="6100445"/>
            <wp:effectExtent l="0" t="0" r="2540" b="14605"/>
            <wp:docPr id="1" name="图片 42" descr="/home/gxxc/桌面/《崇左市中心城区451402-JCB-DL-01独立地块详细规划》相关材料/2.图件（含图则）/001区位图.jpg001区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2" descr="/home/gxxc/桌面/《崇左市中心城区451402-JCB-DL-01独立地块详细规划》相关材料/2.图件（含图则）/001区位图.jpg001区位图"/>
                    <pic:cNvPicPr>
                      <a:picLocks noChangeAspect="1"/>
                    </pic:cNvPicPr>
                  </pic:nvPicPr>
                  <pic:blipFill>
                    <a:blip r:embed="rId5"/>
                    <a:stretch>
                      <a:fillRect/>
                    </a:stretch>
                  </pic:blipFill>
                  <pic:spPr>
                    <a:xfrm>
                      <a:off x="0" y="0"/>
                      <a:ext cx="8627110" cy="6100445"/>
                    </a:xfrm>
                    <a:prstGeom prst="rect">
                      <a:avLst/>
                    </a:prstGeom>
                    <a:noFill/>
                    <a:ln>
                      <a:noFill/>
                    </a:ln>
                  </pic:spPr>
                </pic:pic>
              </a:graphicData>
            </a:graphic>
          </wp:inline>
        </w:drawing>
      </w:r>
    </w:p>
    <w:p>
      <w:pPr>
        <w:jc w:val="center"/>
        <w:rPr>
          <w:rFonts w:hint="eastAsia" w:ascii="方正仿宋_GB2312" w:hAnsi="方正仿宋_GB2312" w:eastAsia="方正仿宋_GB2312" w:cs="方正仿宋_GB2312"/>
          <w:b/>
          <w:bCs/>
          <w:sz w:val="28"/>
          <w:szCs w:val="36"/>
          <w:lang w:val="en-US" w:eastAsia="zh-CN"/>
        </w:rPr>
      </w:pPr>
      <w:r>
        <w:rPr>
          <w:rFonts w:hint="eastAsia" w:ascii="方正仿宋_GB2312" w:hAnsi="方正仿宋_GB2312" w:eastAsia="方正仿宋_GB2312" w:cs="方正仿宋_GB2312"/>
          <w:b/>
          <w:bCs/>
          <w:sz w:val="28"/>
          <w:szCs w:val="36"/>
          <w:lang w:val="en-US" w:eastAsia="zh-CN"/>
        </w:rPr>
        <w:drawing>
          <wp:inline distT="0" distB="0" distL="114300" distR="114300">
            <wp:extent cx="9770745" cy="6908165"/>
            <wp:effectExtent l="0" t="0" r="1905" b="6985"/>
            <wp:docPr id="2" name="图片 43" descr="/home/gxxc/桌面/《崇左市中心城区451402-JCB-DL-01独立地块详细规划》相关材料/2.图件（含图则）/002土地使用现状图.jpg002土地使用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3" descr="/home/gxxc/桌面/《崇左市中心城区451402-JCB-DL-01独立地块详细规划》相关材料/2.图件（含图则）/002土地使用现状图.jpg002土地使用现状图"/>
                    <pic:cNvPicPr>
                      <a:picLocks noChangeAspect="1"/>
                    </pic:cNvPicPr>
                  </pic:nvPicPr>
                  <pic:blipFill>
                    <a:blip r:embed="rId6"/>
                    <a:stretch>
                      <a:fillRect/>
                    </a:stretch>
                  </pic:blipFill>
                  <pic:spPr>
                    <a:xfrm>
                      <a:off x="0" y="0"/>
                      <a:ext cx="9770745" cy="6908165"/>
                    </a:xfrm>
                    <a:prstGeom prst="rect">
                      <a:avLst/>
                    </a:prstGeom>
                    <a:noFill/>
                    <a:ln>
                      <a:noFill/>
                    </a:ln>
                  </pic:spPr>
                </pic:pic>
              </a:graphicData>
            </a:graphic>
          </wp:inline>
        </w:drawing>
      </w:r>
    </w:p>
    <w:p>
      <w:pPr>
        <w:jc w:val="both"/>
        <w:rPr>
          <w:rFonts w:hint="eastAsia" w:ascii="方正仿宋_GB2312" w:hAnsi="方正仿宋_GB2312" w:eastAsia="方正仿宋_GB2312" w:cs="方正仿宋_GB2312"/>
          <w:b/>
          <w:bCs/>
          <w:sz w:val="28"/>
          <w:szCs w:val="36"/>
          <w:lang w:val="en-US" w:eastAsia="zh-CN"/>
        </w:rPr>
      </w:pPr>
      <w:r>
        <w:rPr>
          <w:rFonts w:hint="eastAsia" w:ascii="方正仿宋_GB2312" w:hAnsi="方正仿宋_GB2312" w:eastAsia="方正仿宋_GB2312" w:cs="方正仿宋_GB2312"/>
          <w:b/>
          <w:bCs/>
          <w:sz w:val="28"/>
          <w:szCs w:val="36"/>
          <w:lang w:val="en-US" w:eastAsia="zh-CN"/>
        </w:rPr>
        <w:drawing>
          <wp:inline distT="0" distB="0" distL="114300" distR="114300">
            <wp:extent cx="9770745" cy="6908165"/>
            <wp:effectExtent l="0" t="0" r="1905" b="6985"/>
            <wp:docPr id="3" name="图片 44" descr="/home/gxxc/桌面/《崇左市中心城区451402-JCB-DL-01独立地块详细规划》相关材料/2.图件（含图则）/003土地使用规划图.jpg003土地使用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4" descr="/home/gxxc/桌面/《崇左市中心城区451402-JCB-DL-01独立地块详细规划》相关材料/2.图件（含图则）/003土地使用规划图.jpg003土地使用规划图"/>
                    <pic:cNvPicPr>
                      <a:picLocks noChangeAspect="1"/>
                    </pic:cNvPicPr>
                  </pic:nvPicPr>
                  <pic:blipFill>
                    <a:blip r:embed="rId7"/>
                    <a:stretch>
                      <a:fillRect/>
                    </a:stretch>
                  </pic:blipFill>
                  <pic:spPr>
                    <a:xfrm>
                      <a:off x="0" y="0"/>
                      <a:ext cx="9770745" cy="6908165"/>
                    </a:xfrm>
                    <a:prstGeom prst="rect">
                      <a:avLst/>
                    </a:prstGeom>
                    <a:noFill/>
                    <a:ln>
                      <a:noFill/>
                    </a:ln>
                  </pic:spPr>
                </pic:pic>
              </a:graphicData>
            </a:graphic>
          </wp:inline>
        </w:drawing>
      </w:r>
    </w:p>
    <w:p>
      <w:pPr>
        <w:jc w:val="both"/>
        <w:rPr>
          <w:rFonts w:hint="eastAsia" w:ascii="方正仿宋_GB2312" w:hAnsi="方正仿宋_GB2312" w:eastAsia="方正仿宋_GB2312" w:cs="方正仿宋_GB2312"/>
          <w:b/>
          <w:bCs/>
          <w:sz w:val="28"/>
          <w:szCs w:val="36"/>
          <w:lang w:val="en-US" w:eastAsia="zh-CN"/>
        </w:rPr>
      </w:pPr>
      <w:r>
        <w:rPr>
          <w:rFonts w:hint="eastAsia" w:ascii="方正仿宋_GB2312" w:hAnsi="方正仿宋_GB2312" w:eastAsia="方正仿宋_GB2312" w:cs="方正仿宋_GB2312"/>
          <w:b/>
          <w:bCs/>
          <w:sz w:val="28"/>
          <w:szCs w:val="36"/>
          <w:lang w:val="en-US" w:eastAsia="zh-CN"/>
        </w:rPr>
        <w:drawing>
          <wp:inline distT="0" distB="0" distL="114300" distR="114300">
            <wp:extent cx="9753600" cy="6894830"/>
            <wp:effectExtent l="0" t="0" r="0" b="1270"/>
            <wp:docPr id="4" name="图片 45" descr="004地块图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5" descr="004地块图则"/>
                    <pic:cNvPicPr>
                      <a:picLocks noChangeAspect="1"/>
                    </pic:cNvPicPr>
                  </pic:nvPicPr>
                  <pic:blipFill>
                    <a:blip r:embed="rId8"/>
                    <a:stretch>
                      <a:fillRect/>
                    </a:stretch>
                  </pic:blipFill>
                  <pic:spPr>
                    <a:xfrm>
                      <a:off x="0" y="0"/>
                      <a:ext cx="9753600" cy="6894830"/>
                    </a:xfrm>
                    <a:prstGeom prst="rect">
                      <a:avLst/>
                    </a:prstGeom>
                    <a:noFill/>
                    <a:ln>
                      <a:noFill/>
                    </a:ln>
                  </pic:spPr>
                </pic:pic>
              </a:graphicData>
            </a:graphic>
          </wp:inline>
        </w:drawing>
      </w:r>
    </w:p>
    <w:sectPr>
      <w:footerReference r:id="rId3" w:type="default"/>
      <w:pgSz w:w="16838" w:h="11906" w:orient="landscape"/>
      <w:pgMar w:top="720" w:right="720" w:bottom="720" w:left="720"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Noto Sans CJK JP">
    <w:panose1 w:val="020B0600000000000000"/>
    <w:charset w:val="86"/>
    <w:family w:val="auto"/>
    <w:pitch w:val="default"/>
    <w:sig w:usb0="30000083" w:usb1="2BDF3C10" w:usb2="00000016" w:usb3="00000000" w:csb0="602E0107" w:csb1="00000000"/>
  </w:font>
  <w:font w:name="Arial">
    <w:altName w:val="Nimbus Roman No9 L"/>
    <w:panose1 w:val="020B0604020202020204"/>
    <w:charset w:val="00"/>
    <w:family w:val="swiss"/>
    <w:pitch w:val="default"/>
    <w:sig w:usb0="E0002EFF" w:usb1="C000785B" w:usb2="00000009" w:usb3="00000000" w:csb0="400001FF" w:csb1="FFFF0000"/>
  </w:font>
  <w:font w:name="Courier New">
    <w:altName w:val="DejaVu Sans"/>
    <w:panose1 w:val="02070309020205020404"/>
    <w:charset w:val="00"/>
    <w:family w:val="modern"/>
    <w:pitch w:val="default"/>
    <w:sig w:usb0="E0002EFF" w:usb1="C0007843" w:usb2="00000009" w:usb3="00000000" w:csb0="400001FF" w:csb1="FFFF0000"/>
  </w:font>
  <w:font w:name="方正小标宋_GBK">
    <w:panose1 w:val="02000000000000000000"/>
    <w:charset w:val="86"/>
    <w:family w:val="auto"/>
    <w:pitch w:val="default"/>
    <w:sig w:usb0="00000001" w:usb1="08000000" w:usb2="00000000" w:usb3="00000000" w:csb0="00040000" w:csb1="00000000"/>
  </w:font>
  <w:font w:name="方正仿宋_GB2312">
    <w:altName w:val="方正仿宋_GBK"/>
    <w:panose1 w:val="02000000000000000000"/>
    <w:charset w:val="00"/>
    <w:family w:val="auto"/>
    <w:pitch w:val="default"/>
    <w:sig w:usb0="A00002BF" w:usb1="184F6CFA" w:usb2="00000012" w:usb3="00000000" w:csb0="00040001" w:csb1="00000000"/>
  </w:font>
  <w:font w:name="方正仿宋_GBK">
    <w:panose1 w:val="03000509000000000000"/>
    <w:charset w:val="86"/>
    <w:family w:val="auto"/>
    <w:pitch w:val="default"/>
    <w:sig w:usb0="00000001" w:usb1="080E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Microsoft YaHei">
    <w:altName w:val="黑体"/>
    <w:panose1 w:val="00000000000000000000"/>
    <w:charset w:val="00"/>
    <w:family w:val="auto"/>
    <w:pitch w:val="default"/>
    <w:sig w:usb0="00000000" w:usb1="00000000" w:usb2="00000000" w:usb3="00000000" w:csb0="00000000" w:csb1="00000000"/>
  </w:font>
  <w:font w:name="Tahoma">
    <w:altName w:val="Droid Sans"/>
    <w:panose1 w:val="00000000000000000000"/>
    <w:charset w:val="00"/>
    <w:family w:val="auto"/>
    <w:pitch w:val="default"/>
    <w:sig w:usb0="00000000" w:usb1="00000000" w:usb2="00000000" w:usb3="00000000" w:csb0="00000000" w:csb1="00000000"/>
  </w:font>
  <w:font w:name="Nimbus Roman No9 L">
    <w:panose1 w:val="00000000000000000000"/>
    <w:charset w:val="00"/>
    <w:family w:val="auto"/>
    <w:pitch w:val="default"/>
    <w:sig w:usb0="00000000" w:usb1="00000000" w:usb2="00000000" w:usb3="00000000" w:csb0="00000000" w:csb1="00000000"/>
  </w:font>
  <w:font w:name="Droid Sans">
    <w:panose1 w:val="020B0606030804020204"/>
    <w:charset w:val="00"/>
    <w:family w:val="auto"/>
    <w:pitch w:val="default"/>
    <w:sig w:usb0="E00002EF" w:usb1="4000205B" w:usb2="00000028"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2"/>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B1F7695"/>
    <w:rsid w:val="022E7F10"/>
    <w:rsid w:val="04B425C4"/>
    <w:rsid w:val="0C475F30"/>
    <w:rsid w:val="116F3C27"/>
    <w:rsid w:val="18C2314F"/>
    <w:rsid w:val="1D70057E"/>
    <w:rsid w:val="22923EC5"/>
    <w:rsid w:val="261F67AF"/>
    <w:rsid w:val="268D5D4F"/>
    <w:rsid w:val="33E63231"/>
    <w:rsid w:val="38B8629F"/>
    <w:rsid w:val="38BB3F20"/>
    <w:rsid w:val="39BC1544"/>
    <w:rsid w:val="3EC83739"/>
    <w:rsid w:val="3F292904"/>
    <w:rsid w:val="46E64AF5"/>
    <w:rsid w:val="51F43C13"/>
    <w:rsid w:val="54A30BE9"/>
    <w:rsid w:val="56B769B3"/>
    <w:rsid w:val="5DC60467"/>
    <w:rsid w:val="5E09299D"/>
    <w:rsid w:val="5EAB5C23"/>
    <w:rsid w:val="5FCE1BCC"/>
    <w:rsid w:val="66EFE023"/>
    <w:rsid w:val="6B1F7695"/>
    <w:rsid w:val="6C5A1350"/>
    <w:rsid w:val="744978D7"/>
    <w:rsid w:val="756C0EA0"/>
    <w:rsid w:val="FB774F74"/>
    <w:rsid w:val="FBFCD1DB"/>
    <w:rsid w:val="FFCED326"/>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keepNext/>
      <w:keepLines/>
      <w:spacing w:before="340" w:beforeLines="0" w:after="330" w:afterLines="0" w:line="576" w:lineRule="auto"/>
      <w:jc w:val="center"/>
      <w:outlineLvl w:val="0"/>
    </w:pPr>
    <w:rPr>
      <w:b/>
      <w:kern w:val="44"/>
      <w:sz w:val="36"/>
    </w:rPr>
  </w:style>
  <w:style w:type="paragraph" w:styleId="3">
    <w:name w:val="heading 2"/>
    <w:basedOn w:val="1"/>
    <w:next w:val="4"/>
    <w:link w:val="15"/>
    <w:unhideWhenUsed/>
    <w:qFormat/>
    <w:uiPriority w:val="0"/>
    <w:pPr>
      <w:keepNext/>
      <w:keepLines/>
      <w:spacing w:before="20" w:beforeLines="0" w:beforeAutospacing="0" w:after="20" w:afterLines="0" w:afterAutospacing="0" w:line="413" w:lineRule="auto"/>
      <w:jc w:val="left"/>
      <w:outlineLvl w:val="1"/>
    </w:pPr>
    <w:rPr>
      <w:rFonts w:ascii="Arial" w:hAnsi="Arial" w:eastAsia="黑体"/>
      <w:b/>
      <w:sz w:val="30"/>
    </w:rPr>
  </w:style>
  <w:style w:type="paragraph" w:styleId="4">
    <w:name w:val="heading 3"/>
    <w:basedOn w:val="1"/>
    <w:next w:val="1"/>
    <w:qFormat/>
    <w:uiPriority w:val="0"/>
    <w:pPr>
      <w:keepNext/>
      <w:keepLines/>
      <w:spacing w:before="20" w:after="20" w:line="415" w:lineRule="auto"/>
      <w:ind w:leftChars="100" w:firstLine="301" w:firstLineChars="100"/>
      <w:jc w:val="left"/>
      <w:outlineLvl w:val="2"/>
    </w:pPr>
    <w:rPr>
      <w:rFonts w:ascii="宋体" w:hAnsi="宋体" w:cs="宋体"/>
      <w:b/>
      <w:bCs/>
      <w:color w:val="000000"/>
      <w:kern w:val="0"/>
      <w:sz w:val="30"/>
      <w:szCs w:val="30"/>
    </w:rPr>
  </w:style>
  <w:style w:type="character" w:default="1" w:styleId="14">
    <w:name w:val="Default Paragraph Font"/>
    <w:semiHidden/>
    <w:uiPriority w:val="0"/>
  </w:style>
  <w:style w:type="table" w:default="1" w:styleId="12">
    <w:name w:val="Normal Table"/>
    <w:semiHidden/>
    <w:qFormat/>
    <w:uiPriority w:val="0"/>
    <w:tblPr>
      <w:tblStyle w:val="12"/>
      <w:tblCellMar>
        <w:top w:w="0" w:type="dxa"/>
        <w:left w:w="108" w:type="dxa"/>
        <w:bottom w:w="0" w:type="dxa"/>
        <w:right w:w="108" w:type="dxa"/>
      </w:tblCellMar>
    </w:tblPr>
  </w:style>
  <w:style w:type="paragraph" w:styleId="5">
    <w:name w:val="Body Text"/>
    <w:basedOn w:val="1"/>
    <w:next w:val="1"/>
    <w:qFormat/>
    <w:uiPriority w:val="0"/>
    <w:pPr>
      <w:spacing w:after="120"/>
    </w:pPr>
    <w:rPr>
      <w:rFonts w:ascii="Times New Roman" w:hAnsi="Times New Roman" w:eastAsia="宋体" w:cs="Times New Roman"/>
    </w:rPr>
  </w:style>
  <w:style w:type="paragraph" w:styleId="6">
    <w:name w:val="Plain Text"/>
    <w:basedOn w:val="1"/>
    <w:qFormat/>
    <w:uiPriority w:val="0"/>
    <w:rPr>
      <w:rFonts w:ascii="宋体" w:hAnsi="Courier New"/>
      <w:kern w:val="0"/>
      <w:sz w:val="20"/>
      <w:szCs w:val="21"/>
    </w:rPr>
  </w:style>
  <w:style w:type="paragraph" w:styleId="7">
    <w:name w:val="footer"/>
    <w:basedOn w:val="1"/>
    <w:uiPriority w:val="0"/>
    <w:pPr>
      <w:tabs>
        <w:tab w:val="center" w:pos="4153"/>
        <w:tab w:val="right" w:pos="8306"/>
      </w:tabs>
      <w:snapToGrid w:val="0"/>
      <w:jc w:val="left"/>
    </w:pPr>
    <w:rPr>
      <w:sz w:val="18"/>
    </w:rPr>
  </w:style>
  <w:style w:type="paragraph" w:styleId="8">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uiPriority w:val="0"/>
  </w:style>
  <w:style w:type="paragraph" w:styleId="10">
    <w:name w:val="toc 2"/>
    <w:basedOn w:val="1"/>
    <w:next w:val="1"/>
    <w:uiPriority w:val="0"/>
    <w:pPr>
      <w:ind w:left="420" w:leftChars="200"/>
    </w:pPr>
  </w:style>
  <w:style w:type="paragraph" w:styleId="11">
    <w:name w:val="Normal (Web)"/>
    <w:basedOn w:val="1"/>
    <w:uiPriority w:val="0"/>
    <w:pPr>
      <w:spacing w:before="100" w:beforeAutospacing="1" w:after="100" w:afterAutospacing="1"/>
      <w:ind w:left="0" w:right="0"/>
      <w:jc w:val="left"/>
    </w:pPr>
    <w:rPr>
      <w:kern w:val="0"/>
      <w:sz w:val="24"/>
      <w:lang w:val="en-US" w:eastAsia="zh-CN" w:bidi="ar"/>
    </w:rPr>
  </w:style>
  <w:style w:type="table" w:styleId="13">
    <w:name w:val="Table Grid"/>
    <w:basedOn w:val="12"/>
    <w:qFormat/>
    <w:uiPriority w:val="0"/>
    <w:pPr>
      <w:widowControl w:val="0"/>
      <w:jc w:val="both"/>
    </w:p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5">
    <w:name w:val="标题 2 Char"/>
    <w:link w:val="3"/>
    <w:uiPriority w:val="0"/>
    <w:rPr>
      <w:rFonts w:ascii="Arial" w:hAnsi="Arial" w:eastAsia="黑体"/>
      <w:b/>
      <w:sz w:val="30"/>
    </w:rPr>
  </w:style>
  <w:style w:type="paragraph" w:customStyle="1" w:styleId="16">
    <w:name w:val="Default"/>
    <w:basedOn w:val="1"/>
    <w:qFormat/>
    <w:uiPriority w:val="0"/>
    <w:pPr>
      <w:autoSpaceDE w:val="0"/>
      <w:autoSpaceDN w:val="0"/>
      <w:adjustRightInd w:val="0"/>
      <w:jc w:val="left"/>
    </w:pPr>
    <w:rPr>
      <w:rFonts w:ascii="方正小标宋_GBK" w:hAnsi="方正小标宋_GBK" w:cs="宋体"/>
      <w:color w:val="000000"/>
      <w:kern w:val="0"/>
      <w:sz w:val="24"/>
    </w:rPr>
  </w:style>
  <w:style w:type="character" w:customStyle="1" w:styleId="17">
    <w:name w:val="样式 小四"/>
    <w:qFormat/>
    <w:uiPriority w:val="0"/>
    <w:rPr>
      <w:rFonts w:eastAsia="宋体"/>
      <w:spacing w:val="2"/>
      <w:sz w:val="24"/>
      <w:szCs w:val="24"/>
    </w:rPr>
  </w:style>
  <w:style w:type="paragraph" w:customStyle="1" w:styleId="18">
    <w:name w:val="正文2"/>
    <w:basedOn w:val="1"/>
    <w:qFormat/>
    <w:uiPriority w:val="0"/>
    <w:pPr>
      <w:spacing w:line="440" w:lineRule="exact"/>
      <w:ind w:firstLine="480" w:firstLineChars="200"/>
    </w:pPr>
    <w:rPr>
      <w:sz w:val="24"/>
    </w:rPr>
  </w:style>
  <w:style w:type="paragraph" w:customStyle="1" w:styleId="19">
    <w:name w:val="样式 纯文本 + (符号) 宋体"/>
    <w:basedOn w:val="6"/>
    <w:qFormat/>
    <w:uiPriority w:val="0"/>
    <w:pPr>
      <w:spacing w:line="440" w:lineRule="exact"/>
      <w:ind w:firstLine="200" w:firstLineChars="200"/>
    </w:pPr>
    <w:rPr>
      <w:rFonts w:cs="Times New Roman"/>
      <w:sz w:val="24"/>
      <w:szCs w:val="20"/>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Pages>
  <Words>2811</Words>
  <Characters>3456</Characters>
  <Lines>0</Lines>
  <Paragraphs>0</Paragraphs>
  <TotalTime>4.33333333333333</TotalTime>
  <ScaleCrop>false</ScaleCrop>
  <LinksUpToDate>false</LinksUpToDate>
  <CharactersWithSpaces>3461</CharactersWithSpaces>
  <Application>WPS Office_11.8.2.10624_F1E327BC-269C-435d-A152-05C5408002CA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2025-06-04T02:35:00Z</dcterms:created>
  <dc:creator>追忆</dc:creator>
  <cp:lastModifiedBy>许正恩</cp:lastModifiedBy>
  <dcterms:modified xsi:type="dcterms:W3CDTF">2026-01-08T11:36:14Z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2052-11.8.2.10624</vt:lpwstr>
  </property>
  <property fmtid="{D5CDD505-2E9C-101B-9397-08002B2CF9AE}" pid="3" name="ICV">
    <vt:lpwstr>654A648CCFEF410BB939BC3EB07C35D7_13</vt:lpwstr>
  </property>
  <property fmtid="{D5CDD505-2E9C-101B-9397-08002B2CF9AE}" pid="4" name="KSOTemplateDocerSaveRecord">
    <vt:lpwstr>eyJoZGlkIjoiZWQwYTJjNTM4NGVjYjg0ZTMzYzU4MzM5MWZjNzc4NWYiLCJ1c2VySWQiOiIyMDc3MDA4NDYifQ==</vt:lpwstr>
  </property>
</Properties>
</file>